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1Light-Accent5"/>
        <w:tblpPr w:leftFromText="180" w:rightFromText="180" w:horzAnchor="margin" w:tblpXSpec="right" w:tblpY="-409"/>
        <w:tblW w:w="13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5580"/>
        <w:gridCol w:w="7550"/>
      </w:tblGrid>
      <w:tr w:rsidR="00B75FC6" w14:paraId="5DC714B7" w14:textId="77777777" w:rsidTr="00F20BAD">
        <w:tc>
          <w:tcPr>
            <w:tcW w:w="5580" w:type="dxa"/>
            <w:vAlign w:val="bottom"/>
          </w:tcPr>
          <w:p w14:paraId="4D15EB26" w14:textId="67B68082" w:rsidR="00B75FC6" w:rsidRPr="002B4B00" w:rsidRDefault="002B4B00" w:rsidP="00F20BAD">
            <w:pPr>
              <w:pStyle w:val="Titl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75648" behindDoc="0" locked="0" layoutInCell="1" allowOverlap="1" wp14:anchorId="66B44D43" wp14:editId="5394F0F6">
                  <wp:simplePos x="0" y="0"/>
                  <wp:positionH relativeFrom="column">
                    <wp:posOffset>521335</wp:posOffset>
                  </wp:positionH>
                  <wp:positionV relativeFrom="paragraph">
                    <wp:posOffset>692150</wp:posOffset>
                  </wp:positionV>
                  <wp:extent cx="1152525" cy="1152525"/>
                  <wp:effectExtent l="0" t="0" r="0" b="0"/>
                  <wp:wrapNone/>
                  <wp:docPr id="2" name="Graphic 2" descr="Microscop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ndshake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effectLst>
                            <a:innerShdw blurRad="38100">
                              <a:prstClr val="black">
                                <a:alpha val="42000"/>
                              </a:prstClr>
                            </a:inn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13FE" w:rsidRPr="002B4B00">
              <w:t>Integrated</w:t>
            </w:r>
            <w:r w:rsidR="003B3036" w:rsidRPr="002B4B00">
              <w:br/>
            </w:r>
            <w:r w:rsidR="008413FE" w:rsidRPr="002B4B00">
              <w:t xml:space="preserve">Business </w:t>
            </w:r>
            <w:r w:rsidR="003B3036" w:rsidRPr="002B4B00">
              <w:br/>
            </w:r>
            <w:r w:rsidR="008413FE" w:rsidRPr="002B4B00">
              <w:t>Services</w:t>
            </w:r>
          </w:p>
          <w:p w14:paraId="5CEAFB93" w14:textId="000FD999" w:rsidR="00B75FC6" w:rsidRPr="002B4B00" w:rsidRDefault="00B75FC6" w:rsidP="00F20BAD">
            <w:pPr>
              <w:pStyle w:val="Subtitle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 w:rsidRPr="002B4B00">
              <w:t>Self-Assessment</w:t>
            </w:r>
          </w:p>
        </w:tc>
        <w:tc>
          <w:tcPr>
            <w:tcW w:w="7550" w:type="dxa"/>
            <w:vAlign w:val="bottom"/>
          </w:tcPr>
          <w:p w14:paraId="24B3CFE0" w14:textId="2FDF6101" w:rsidR="008A263A" w:rsidRDefault="00B258F1" w:rsidP="00F20BAD">
            <w:pPr>
              <w:ind w:left="720"/>
            </w:pPr>
            <w:r w:rsidRPr="00B258F1">
              <w:rPr>
                <w:rStyle w:val="Emphasis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CF032F6" wp14:editId="0EF854CF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-518160</wp:posOffset>
                      </wp:positionV>
                      <wp:extent cx="4090670" cy="1404620"/>
                      <wp:effectExtent l="0" t="0" r="24130" b="2476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067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00B93C" w14:textId="507811CA" w:rsidR="00B258F1" w:rsidRDefault="00B258F1">
                                  <w:r w:rsidRPr="00B258F1">
                                    <w:rPr>
                                      <w:b/>
                                    </w:rPr>
                                    <w:t>Team Name</w:t>
                                  </w:r>
                                  <w:r>
                                    <w:t xml:space="preserve">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032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.1pt;margin-top:-40.8pt;width:322.1pt;height:110.6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3eJAIAAEcEAAAOAAAAZHJzL2Uyb0RvYy54bWysU9uO2yAQfa/Uf0C8N77ISTZWnNU221SV&#10;thdptx8wxjhGxUCBxE6/vgPOptG2fanKA2KY4TBzzsz6duwlOXLrhFYVzWYpJVwx3Qi1r+jXp92b&#10;G0qcB9WA1IpX9MQdvd28frUeTMlz3WnZcEsQRLlyMBXtvDdlkjjW8R7cTBuu0Nlq24NH0+6TxsKA&#10;6L1M8jRdJIO2jbGacefw9n5y0k3Eb1vO/Oe2ddwTWVHMzcfdxr0Oe7JZQ7m3YDrBzmnAP2TRg1D4&#10;6QXqHjyQgxW/QfWCWe1062dM94luW8F4rAGrydIX1Tx2YHisBclx5kKT+3+w7NPxiyWiqWieLSlR&#10;0KNIT3z05K0eSR74GYwrMezRYKAf8Rp1jrU686DZN0eU3nag9vzOWj10HBrMLwsvk6unE44LIPXw&#10;UTf4DRy8jkBja/tAHtJBEB11Ol20CakwvCzSVbpYoouhLyvSYpFH9RIon58b6/x7rnsSDhW1KH6E&#10;h+OD8yEdKJ9Dwm9OS9HshJTRsPt6Ky05AjbKLq5YwYswqchQ0dU8n08M/BUijetPEL3w2PFS9BW9&#10;uQRBGXh7p5rYjx6EnM6YslRnIgN3E4t+rMezMLVuTkip1VNn4yTiodP2ByUDdnVF3fcDWE6J/KBQ&#10;llVWFGEMolHMl8ghsdee+toDiiFURT0l03Hr4+hEwswdyrcTkdig85TJOVfs1sj3ebLCOFzbMerX&#10;/G9+AgAA//8DAFBLAwQUAAYACAAAACEAyHwePuAAAAAKAQAADwAAAGRycy9kb3ducmV2LnhtbEyP&#10;wU7DMBBE70j8g7VI3FqnAdIQ4lSIqmfagoS4OfY2jhrbIXbTlK9nOcFxNU8zb8vVZDs24hBa7wQs&#10;5gkwdMrr1jUC3t82sxxYiNJp2XmHAi4YYFVdX5Wy0P7sdjjuY8OoxIVCCjAx9gXnQRm0Msx9j46y&#10;gx+sjHQODdeDPFO57XiaJBm3snW0YGSPLwbVcX+yAsJ6+9Wrw7Y+Gn35fl2PD+pj8ynE7c30/AQs&#10;4hT/YPjVJ3WoyKn2J6cD6wQs85RIAbN8kQEjYJmm98BqIu8eM+BVyf+/UP0AAAD//wMAUEsBAi0A&#10;FAAGAAgAAAAhALaDOJL+AAAA4QEAABMAAAAAAAAAAAAAAAAAAAAAAFtDb250ZW50X1R5cGVzXS54&#10;bWxQSwECLQAUAAYACAAAACEAOP0h/9YAAACUAQAACwAAAAAAAAAAAAAAAAAvAQAAX3JlbHMvLnJl&#10;bHNQSwECLQAUAAYACAAAACEA6dit3iQCAABHBAAADgAAAAAAAAAAAAAAAAAuAgAAZHJzL2Uyb0Rv&#10;Yy54bWxQSwECLQAUAAYACAAAACEAyHwePuAAAAAKAQAADwAAAAAAAAAAAAAAAAB+BAAAZHJzL2Rv&#10;d25yZXYueG1sUEsFBgAAAAAEAAQA8wAAAIsFAAAAAA==&#10;">
                      <v:textbox style="mso-fit-shape-to-text:t">
                        <w:txbxContent>
                          <w:p w14:paraId="0D00B93C" w14:textId="507811CA" w:rsidR="00B258F1" w:rsidRDefault="00B258F1">
                            <w:r w:rsidRPr="00B258F1">
                              <w:rPr>
                                <w:b/>
                              </w:rPr>
                              <w:t>Team Name</w:t>
                            </w:r>
                            <w:r>
                              <w:t xml:space="preserve">: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B4B00" w:rsidRPr="008A263A">
              <w:rPr>
                <w:rStyle w:val="Emphasis"/>
              </w:rPr>
              <w:t>Description:</w:t>
            </w:r>
            <w:r w:rsidR="002B4B00" w:rsidRPr="008A263A">
              <w:t xml:space="preserve"> a self-assessment to help </w:t>
            </w:r>
            <w:r w:rsidR="00907DB2">
              <w:t xml:space="preserve">states and </w:t>
            </w:r>
            <w:r w:rsidR="002B4B00" w:rsidRPr="008A263A">
              <w:t xml:space="preserve">regions drill down deep into how integrated </w:t>
            </w:r>
            <w:r w:rsidR="00B16DA7">
              <w:t xml:space="preserve">and effective </w:t>
            </w:r>
            <w:r w:rsidR="002B4B00" w:rsidRPr="008A263A">
              <w:t>their business services are</w:t>
            </w:r>
            <w:r w:rsidR="00705EA3">
              <w:t xml:space="preserve"> currently</w:t>
            </w:r>
            <w:r w:rsidR="00907DB2">
              <w:t>, and where enhancements can be made.</w:t>
            </w:r>
          </w:p>
          <w:p w14:paraId="6DF17F31" w14:textId="77777777" w:rsidR="00264A46" w:rsidRDefault="00264A46" w:rsidP="00F20BAD">
            <w:pPr>
              <w:ind w:left="720"/>
            </w:pPr>
          </w:p>
          <w:p w14:paraId="3DC23063" w14:textId="339B7558" w:rsidR="00FF0DA6" w:rsidRDefault="00FF0DA6" w:rsidP="00F20BAD">
            <w:pPr>
              <w:ind w:left="720"/>
            </w:pPr>
          </w:p>
        </w:tc>
      </w:tr>
    </w:tbl>
    <w:p w14:paraId="79A463CB" w14:textId="521C5C6F" w:rsidR="004223A1" w:rsidRDefault="00BD312C" w:rsidP="008A263A">
      <w:r>
        <w:rPr>
          <w:noProof/>
        </w:rPr>
        <w:drawing>
          <wp:anchor distT="0" distB="0" distL="114300" distR="114300" simplePos="0" relativeHeight="251673600" behindDoc="1" locked="0" layoutInCell="1" allowOverlap="1" wp14:anchorId="68E6F4CB" wp14:editId="41DDA708">
            <wp:simplePos x="0" y="0"/>
            <wp:positionH relativeFrom="column">
              <wp:posOffset>-457201</wp:posOffset>
            </wp:positionH>
            <wp:positionV relativeFrom="page">
              <wp:posOffset>0</wp:posOffset>
            </wp:positionV>
            <wp:extent cx="5159829" cy="2057400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66830" cy="2060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17E01" w14:textId="77777777" w:rsidR="00F20BAD" w:rsidRDefault="00F20BAD" w:rsidP="00480DC3">
      <w:pPr>
        <w:pStyle w:val="Heading2"/>
      </w:pPr>
    </w:p>
    <w:p w14:paraId="5EDD5CFB" w14:textId="77777777" w:rsidR="00F20BAD" w:rsidRDefault="00F20BAD" w:rsidP="00480DC3">
      <w:pPr>
        <w:pStyle w:val="Heading2"/>
      </w:pPr>
    </w:p>
    <w:p w14:paraId="0AD99FE9" w14:textId="77777777" w:rsidR="00F20BAD" w:rsidRDefault="00F20BAD" w:rsidP="00480DC3">
      <w:pPr>
        <w:pStyle w:val="Heading2"/>
      </w:pPr>
    </w:p>
    <w:p w14:paraId="5D0CF431" w14:textId="77777777" w:rsidR="00F20BAD" w:rsidRDefault="00F20BAD" w:rsidP="00480DC3">
      <w:pPr>
        <w:pStyle w:val="Heading2"/>
      </w:pPr>
    </w:p>
    <w:p w14:paraId="32956C9E" w14:textId="59D860F8" w:rsidR="00B75FC6" w:rsidRPr="00480DC3" w:rsidRDefault="008B211B" w:rsidP="00480DC3">
      <w:pPr>
        <w:pStyle w:val="Heading2"/>
      </w:pPr>
      <w:r w:rsidRPr="00480DC3">
        <w:t xml:space="preserve">Introduction </w:t>
      </w:r>
    </w:p>
    <w:p w14:paraId="3D6DAAC5" w14:textId="00C69C1F" w:rsidR="00907DB2" w:rsidRPr="00A476BE" w:rsidRDefault="00907DB2" w:rsidP="00FF0DA6">
      <w:pPr>
        <w:pStyle w:val="IntroParagraph"/>
        <w:spacing w:after="360"/>
        <w:ind w:right="90"/>
        <w:jc w:val="both"/>
        <w:rPr>
          <w:i/>
          <w:color w:val="auto"/>
          <w:sz w:val="23"/>
          <w:szCs w:val="23"/>
        </w:rPr>
      </w:pPr>
      <w:bookmarkStart w:id="0" w:name="_Hlk508711008"/>
      <w:r w:rsidRPr="00FF0DA6">
        <w:rPr>
          <w:sz w:val="23"/>
          <w:szCs w:val="23"/>
        </w:rPr>
        <w:t xml:space="preserve">Most communities understand the importance of providing a more coordinated set of talent development solutions for their business. Yet so many still struggle with effectively integrating business services across workforce, education, and economic development. As a result, we’re still approaching businesses and their talent needs in silos and only reaching a small share of </w:t>
      </w:r>
      <w:r w:rsidR="0069003C" w:rsidRPr="00FF0DA6">
        <w:rPr>
          <w:sz w:val="23"/>
          <w:szCs w:val="23"/>
        </w:rPr>
        <w:t>them</w:t>
      </w:r>
      <w:r w:rsidRPr="00FF0DA6">
        <w:rPr>
          <w:sz w:val="23"/>
          <w:szCs w:val="23"/>
        </w:rPr>
        <w:t>.</w:t>
      </w:r>
      <w:r w:rsidR="004E22D7" w:rsidRPr="00FF0DA6">
        <w:rPr>
          <w:sz w:val="23"/>
          <w:szCs w:val="23"/>
        </w:rPr>
        <w:t xml:space="preserve"> </w:t>
      </w:r>
      <w:r w:rsidR="0069003C" w:rsidRPr="00A476BE">
        <w:rPr>
          <w:color w:val="auto"/>
          <w:sz w:val="23"/>
          <w:szCs w:val="23"/>
        </w:rPr>
        <w:t>This tool challenges state</w:t>
      </w:r>
      <w:r w:rsidR="00927B37" w:rsidRPr="00A476BE">
        <w:rPr>
          <w:color w:val="auto"/>
          <w:sz w:val="23"/>
          <w:szCs w:val="23"/>
        </w:rPr>
        <w:t>s</w:t>
      </w:r>
      <w:r w:rsidR="0069003C" w:rsidRPr="00A476BE">
        <w:rPr>
          <w:color w:val="auto"/>
          <w:sz w:val="23"/>
          <w:szCs w:val="23"/>
        </w:rPr>
        <w:t xml:space="preserve"> and local areas to</w:t>
      </w:r>
      <w:r w:rsidR="00927B37" w:rsidRPr="00A476BE">
        <w:rPr>
          <w:color w:val="auto"/>
          <w:sz w:val="23"/>
          <w:szCs w:val="23"/>
        </w:rPr>
        <w:t xml:space="preserve"> ask themselves</w:t>
      </w:r>
      <w:r w:rsidRPr="00A476BE">
        <w:rPr>
          <w:color w:val="auto"/>
          <w:sz w:val="23"/>
          <w:szCs w:val="23"/>
        </w:rPr>
        <w:t>:</w:t>
      </w:r>
      <w:r w:rsidR="00927B37" w:rsidRPr="00A476BE">
        <w:rPr>
          <w:color w:val="auto"/>
          <w:sz w:val="23"/>
          <w:szCs w:val="23"/>
        </w:rPr>
        <w:t xml:space="preserve"> </w:t>
      </w:r>
      <w:r w:rsidR="00927B37" w:rsidRPr="00A476BE">
        <w:rPr>
          <w:i/>
          <w:color w:val="auto"/>
          <w:sz w:val="23"/>
          <w:szCs w:val="23"/>
        </w:rPr>
        <w:t>Can we be more responsive to business</w:t>
      </w:r>
      <w:r w:rsidR="00FF0DA6" w:rsidRPr="00A476BE">
        <w:rPr>
          <w:i/>
          <w:color w:val="auto"/>
          <w:sz w:val="23"/>
          <w:szCs w:val="23"/>
        </w:rPr>
        <w:t>es</w:t>
      </w:r>
      <w:r w:rsidR="00927B37" w:rsidRPr="00A476BE">
        <w:rPr>
          <w:i/>
          <w:color w:val="auto"/>
          <w:sz w:val="23"/>
          <w:szCs w:val="23"/>
        </w:rPr>
        <w:t xml:space="preserve"> as a collective unit and h</w:t>
      </w:r>
      <w:r w:rsidRPr="00A476BE">
        <w:rPr>
          <w:i/>
          <w:color w:val="auto"/>
          <w:sz w:val="23"/>
          <w:szCs w:val="23"/>
        </w:rPr>
        <w:t xml:space="preserve">ow can we </w:t>
      </w:r>
      <w:r w:rsidR="00D621DE" w:rsidRPr="00A476BE">
        <w:rPr>
          <w:i/>
          <w:color w:val="auto"/>
          <w:sz w:val="23"/>
          <w:szCs w:val="23"/>
        </w:rPr>
        <w:t xml:space="preserve">change what </w:t>
      </w:r>
      <w:r w:rsidR="00FF0DA6" w:rsidRPr="00A476BE">
        <w:rPr>
          <w:i/>
          <w:color w:val="auto"/>
          <w:sz w:val="23"/>
          <w:szCs w:val="23"/>
        </w:rPr>
        <w:t xml:space="preserve">we </w:t>
      </w:r>
      <w:r w:rsidR="00D621DE" w:rsidRPr="00A476BE">
        <w:rPr>
          <w:i/>
          <w:color w:val="auto"/>
          <w:sz w:val="23"/>
          <w:szCs w:val="23"/>
        </w:rPr>
        <w:t xml:space="preserve">do to </w:t>
      </w:r>
      <w:r w:rsidR="00927B37" w:rsidRPr="00A476BE">
        <w:rPr>
          <w:i/>
          <w:color w:val="auto"/>
          <w:sz w:val="23"/>
          <w:szCs w:val="23"/>
        </w:rPr>
        <w:t xml:space="preserve">make it happen? </w:t>
      </w:r>
    </w:p>
    <w:p w14:paraId="23DF1A4A" w14:textId="6438DDD1" w:rsidR="00435002" w:rsidRPr="00A476BE" w:rsidRDefault="00435002" w:rsidP="00FF0DA6">
      <w:pPr>
        <w:pStyle w:val="IntroParagraph"/>
        <w:spacing w:after="360"/>
        <w:jc w:val="both"/>
        <w:rPr>
          <w:color w:val="auto"/>
          <w:sz w:val="23"/>
          <w:szCs w:val="23"/>
        </w:rPr>
      </w:pPr>
      <w:r w:rsidRPr="00FF0DA6">
        <w:rPr>
          <w:sz w:val="23"/>
          <w:szCs w:val="23"/>
        </w:rPr>
        <w:t xml:space="preserve">The self-assessment is made up of a number of </w:t>
      </w:r>
      <w:r w:rsidRPr="00FF0DA6">
        <w:rPr>
          <w:i/>
          <w:sz w:val="23"/>
          <w:szCs w:val="23"/>
        </w:rPr>
        <w:t>indicators</w:t>
      </w:r>
      <w:r w:rsidRPr="00FF0DA6">
        <w:rPr>
          <w:sz w:val="23"/>
          <w:szCs w:val="23"/>
        </w:rPr>
        <w:t xml:space="preserve"> that, together, begin to demonstrate what a “high-performing” integrated business services system may look like. </w:t>
      </w:r>
      <w:r w:rsidRPr="00A476BE">
        <w:rPr>
          <w:color w:val="auto"/>
          <w:sz w:val="23"/>
          <w:szCs w:val="23"/>
        </w:rPr>
        <w:t xml:space="preserve">Most importantly, this tool is designed as a framework to focus the conversation that states and local areas should be having as they address this challenge. </w:t>
      </w:r>
    </w:p>
    <w:bookmarkEnd w:id="0"/>
    <w:p w14:paraId="784538BB" w14:textId="77777777" w:rsidR="00907DB2" w:rsidRPr="00FF0DA6" w:rsidRDefault="00B75FC6" w:rsidP="008A263A">
      <w:pPr>
        <w:rPr>
          <w:rFonts w:cstheme="minorHAnsi"/>
          <w:sz w:val="23"/>
          <w:szCs w:val="23"/>
        </w:rPr>
      </w:pPr>
      <w:r w:rsidRPr="00FF0DA6">
        <w:rPr>
          <w:rStyle w:val="Emphasis"/>
          <w:rFonts w:asciiTheme="minorHAnsi" w:hAnsiTheme="minorHAnsi" w:cstheme="minorHAnsi"/>
          <w:sz w:val="23"/>
          <w:szCs w:val="23"/>
        </w:rPr>
        <w:t>Directions:</w:t>
      </w:r>
      <w:r w:rsidRPr="00FF0DA6">
        <w:rPr>
          <w:rFonts w:cstheme="minorHAnsi"/>
          <w:sz w:val="23"/>
          <w:szCs w:val="23"/>
        </w:rPr>
        <w:t xml:space="preserve"> </w:t>
      </w:r>
    </w:p>
    <w:p w14:paraId="284F5DCF" w14:textId="1C8BE885" w:rsidR="00805ED1" w:rsidRPr="00FF0DA6" w:rsidRDefault="00907DB2" w:rsidP="00907DB2">
      <w:pPr>
        <w:pStyle w:val="ListParagraph"/>
        <w:numPr>
          <w:ilvl w:val="0"/>
          <w:numId w:val="19"/>
        </w:numPr>
        <w:rPr>
          <w:rFonts w:cstheme="minorHAnsi"/>
          <w:sz w:val="23"/>
          <w:szCs w:val="23"/>
        </w:rPr>
      </w:pPr>
      <w:r w:rsidRPr="00FF0DA6">
        <w:rPr>
          <w:rFonts w:cstheme="minorHAnsi"/>
          <w:sz w:val="23"/>
          <w:szCs w:val="23"/>
        </w:rPr>
        <w:t xml:space="preserve">Work as a team to complete the self-assessment. </w:t>
      </w:r>
      <w:r w:rsidR="00805ED1" w:rsidRPr="00FF0DA6">
        <w:rPr>
          <w:rFonts w:cstheme="minorHAnsi"/>
          <w:sz w:val="23"/>
          <w:szCs w:val="23"/>
        </w:rPr>
        <w:t xml:space="preserve">For each of the factors in the sections that follow, select a rating from 1-5 that reflects your/your team’s perspective on where your region stands. </w:t>
      </w:r>
      <w:r w:rsidRPr="00FF0DA6">
        <w:rPr>
          <w:rFonts w:cstheme="minorHAnsi"/>
          <w:sz w:val="23"/>
          <w:szCs w:val="23"/>
        </w:rPr>
        <w:t xml:space="preserve">Each team member may choose to complete the assessment individually and then convene to compare answers. Or, you may decide to complete </w:t>
      </w:r>
      <w:r w:rsidR="0045015C" w:rsidRPr="00FF0DA6">
        <w:rPr>
          <w:rFonts w:cstheme="minorHAnsi"/>
          <w:sz w:val="23"/>
          <w:szCs w:val="23"/>
        </w:rPr>
        <w:t>it</w:t>
      </w:r>
      <w:r w:rsidRPr="00FF0DA6">
        <w:rPr>
          <w:rFonts w:cstheme="minorHAnsi"/>
          <w:sz w:val="23"/>
          <w:szCs w:val="23"/>
        </w:rPr>
        <w:t xml:space="preserve"> as a team together. </w:t>
      </w:r>
    </w:p>
    <w:p w14:paraId="226E66D6" w14:textId="1D263EBA" w:rsidR="00805ED1" w:rsidRPr="00FF0DA6" w:rsidRDefault="00FF0DA6" w:rsidP="00805ED1">
      <w:pPr>
        <w:pStyle w:val="ListParagraph"/>
        <w:numPr>
          <w:ilvl w:val="0"/>
          <w:numId w:val="19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</w:t>
      </w:r>
      <w:r w:rsidR="00907DB2" w:rsidRPr="00FF0DA6">
        <w:rPr>
          <w:rFonts w:cstheme="minorHAnsi"/>
          <w:sz w:val="23"/>
          <w:szCs w:val="23"/>
        </w:rPr>
        <w:t>eave plenty of time to engage in a</w:t>
      </w:r>
      <w:r w:rsidR="00805ED1" w:rsidRPr="00FF0DA6">
        <w:rPr>
          <w:rFonts w:cstheme="minorHAnsi"/>
          <w:sz w:val="23"/>
          <w:szCs w:val="23"/>
        </w:rPr>
        <w:t>n honest</w:t>
      </w:r>
      <w:r w:rsidR="00907DB2" w:rsidRPr="00FF0DA6">
        <w:rPr>
          <w:rFonts w:cstheme="minorHAnsi"/>
          <w:sz w:val="23"/>
          <w:szCs w:val="23"/>
        </w:rPr>
        <w:t xml:space="preserve"> discussion about each </w:t>
      </w:r>
      <w:r w:rsidR="00907DB2" w:rsidRPr="00FF0DA6">
        <w:rPr>
          <w:rFonts w:cstheme="minorHAnsi"/>
          <w:i/>
          <w:sz w:val="23"/>
          <w:szCs w:val="23"/>
        </w:rPr>
        <w:t>indicator</w:t>
      </w:r>
      <w:r w:rsidR="00907DB2" w:rsidRPr="00FF0DA6">
        <w:rPr>
          <w:rFonts w:cstheme="minorHAnsi"/>
          <w:sz w:val="23"/>
          <w:szCs w:val="23"/>
        </w:rPr>
        <w:t xml:space="preserve"> (bulleted statements</w:t>
      </w:r>
      <w:r w:rsidR="00805ED1" w:rsidRPr="00FF0DA6">
        <w:rPr>
          <w:rFonts w:cstheme="minorHAnsi"/>
          <w:sz w:val="23"/>
          <w:szCs w:val="23"/>
        </w:rPr>
        <w:t xml:space="preserve"> on the left), and to provide thoughtful strategies for addressing challenges (the box on the right to write your notes). </w:t>
      </w:r>
    </w:p>
    <w:p w14:paraId="2134A186" w14:textId="59CBF207" w:rsidR="0045015C" w:rsidRPr="00FF0DA6" w:rsidRDefault="0045015C" w:rsidP="00FF0DA6">
      <w:pPr>
        <w:pStyle w:val="ListParagraph"/>
        <w:ind w:left="0"/>
        <w:rPr>
          <w:rFonts w:cstheme="minorHAnsi"/>
          <w:i/>
          <w:sz w:val="23"/>
          <w:szCs w:val="23"/>
        </w:rPr>
      </w:pPr>
      <w:r w:rsidRPr="00FF0DA6">
        <w:rPr>
          <w:rFonts w:cstheme="minorHAnsi"/>
          <w:i/>
          <w:sz w:val="23"/>
          <w:szCs w:val="23"/>
        </w:rPr>
        <w:t>NOTE: if you are representing a state you might decide to take this assessment from the perspective of: are you providing the support/guidance needed for your local and regional areas to succeed in the following indicators.</w:t>
      </w:r>
    </w:p>
    <w:p w14:paraId="496FE785" w14:textId="0185C3BF" w:rsidR="00805ED1" w:rsidRDefault="00805ED1" w:rsidP="00805ED1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A9337F" w14:paraId="44385D78" w14:textId="77777777" w:rsidTr="00974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A692823" w14:textId="665746C8" w:rsidR="00A9337F" w:rsidRPr="0030264E" w:rsidRDefault="003C31BF" w:rsidP="0030264E">
            <w:pPr>
              <w:pStyle w:val="Heading1"/>
              <w:outlineLvl w:val="0"/>
              <w:rPr>
                <w:b w:val="0"/>
              </w:rPr>
            </w:pPr>
            <w:bookmarkStart w:id="1" w:name="_Hlk504586767"/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Vision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7F358B92" w14:textId="38EDCA5E" w:rsidR="00A9337F" w:rsidRPr="00C5735E" w:rsidRDefault="00A9337F" w:rsidP="009743CE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A9337F" w14:paraId="64560677" w14:textId="77777777" w:rsidTr="00805ED1">
        <w:trPr>
          <w:trHeight w:val="6224"/>
        </w:trPr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59D9E2FE" w14:textId="77777777" w:rsidR="00A9337F" w:rsidRPr="009743CE" w:rsidRDefault="00A9337F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>A state/regional vision exists for coordinated and aligned business engagement/services</w:t>
            </w:r>
          </w:p>
          <w:p w14:paraId="01867B16" w14:textId="730D3D2E" w:rsidR="009743CE" w:rsidRPr="009743CE" w:rsidRDefault="009743CE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 xml:space="preserve">The vision is </w:t>
            </w:r>
            <w:r w:rsidRPr="00A476BE">
              <w:t>inclusive of all partners that play a role in the regional talent pipeline from economic development, education, and workforce development</w:t>
            </w:r>
            <w:r w:rsidR="007D24E0" w:rsidRPr="00A476BE">
              <w:t>. This includes</w:t>
            </w:r>
            <w:r w:rsidRPr="00A476BE">
              <w:t xml:space="preserve"> </w:t>
            </w:r>
            <w:r w:rsidR="00BB228C" w:rsidRPr="00A476BE">
              <w:t xml:space="preserve">core and </w:t>
            </w:r>
            <w:r w:rsidRPr="00A476BE">
              <w:t xml:space="preserve">key system partners </w:t>
            </w:r>
            <w:r w:rsidR="007D24E0" w:rsidRPr="00A476BE">
              <w:t xml:space="preserve">from </w:t>
            </w:r>
            <w:r w:rsidRPr="00A476BE">
              <w:t xml:space="preserve">vocational rehabilitation and </w:t>
            </w:r>
            <w:r w:rsidR="007D24E0" w:rsidRPr="00A476BE">
              <w:t xml:space="preserve">adult education </w:t>
            </w:r>
            <w:r w:rsidR="007D24E0">
              <w:t xml:space="preserve">to </w:t>
            </w:r>
            <w:r w:rsidRPr="009743CE">
              <w:t>veteran’s services</w:t>
            </w:r>
            <w:r w:rsidR="007D24E0">
              <w:t xml:space="preserve"> and TANF.</w:t>
            </w:r>
          </w:p>
          <w:p w14:paraId="181EF39B" w14:textId="10824700" w:rsidR="009743CE" w:rsidRPr="009743CE" w:rsidRDefault="009743CE" w:rsidP="009B038D">
            <w:pPr>
              <w:pStyle w:val="Bullets"/>
              <w:numPr>
                <w:ilvl w:val="0"/>
                <w:numId w:val="20"/>
              </w:numPr>
            </w:pPr>
            <w:r w:rsidRPr="009743CE">
              <w:t>The notion of shared business client ownership and accountability is institutionalized across agencies/programs</w:t>
            </w:r>
            <w:r w:rsidR="004E4109">
              <w:t>. Key to this: partners buy into the notion that working collectively expands the breadth of services offered to business which is a positive for all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2D02A8B1" w14:textId="387440B4" w:rsidR="00A9337F" w:rsidRDefault="00A9337F" w:rsidP="009743CE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5EE3121B" w14:textId="73FD8269" w:rsidR="00A9337F" w:rsidRPr="00C5735E" w:rsidRDefault="00A9337F" w:rsidP="00C5735E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40BB7547" w14:textId="77777777" w:rsidR="00A9337F" w:rsidRDefault="00A9337F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76743D06" w14:textId="17BCCAC4" w:rsidR="00FC6BE2" w:rsidRDefault="00FC6BE2" w:rsidP="00FC6BE2">
            <w:pPr>
              <w:spacing w:line="192" w:lineRule="auto"/>
            </w:pPr>
          </w:p>
        </w:tc>
      </w:tr>
    </w:tbl>
    <w:p w14:paraId="2D096AF0" w14:textId="7C6DC107" w:rsidR="00480DC3" w:rsidRDefault="00480DC3" w:rsidP="008A263A"/>
    <w:p w14:paraId="199321F5" w14:textId="77777777" w:rsidR="00B342E3" w:rsidRDefault="00B342E3" w:rsidP="008A263A"/>
    <w:p w14:paraId="1C2BF69F" w14:textId="77777777" w:rsidR="00480DC3" w:rsidRDefault="00480DC3" w:rsidP="008A263A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5A1FF2A1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1DB56156" w14:textId="27DCAB9B" w:rsidR="0030264E" w:rsidRPr="0030264E" w:rsidRDefault="008B211B" w:rsidP="0030264E">
            <w:pPr>
              <w:pStyle w:val="Heading1"/>
              <w:outlineLvl w:val="0"/>
              <w:rPr>
                <w:b w:val="0"/>
              </w:rPr>
            </w:pPr>
            <w:r w:rsidRPr="00480DC3">
              <w:lastRenderedPageBreak/>
              <w:br w:type="page"/>
            </w:r>
            <w:bookmarkEnd w:id="1"/>
            <w:r w:rsidR="0030264E"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  <w:r w:rsidR="0030264E" w:rsidRPr="0030264E">
              <w:rPr>
                <w:b w:val="0"/>
              </w:rPr>
              <w:t xml:space="preserve"> Demand Planning </w:t>
            </w:r>
            <w:r w:rsidR="0030264E"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5263CF99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2078CC44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76C1EEF5" w14:textId="6C5C57B1" w:rsidR="0030264E" w:rsidRDefault="00CB27BA" w:rsidP="009B038D">
            <w:pPr>
              <w:pStyle w:val="Bullets"/>
              <w:numPr>
                <w:ilvl w:val="0"/>
                <w:numId w:val="21"/>
              </w:numPr>
            </w:pPr>
            <w:r>
              <w:t>We have a</w:t>
            </w:r>
            <w:r w:rsidR="0030264E">
              <w:t>ccess to quality regionalized labor market information (LMI)</w:t>
            </w:r>
          </w:p>
          <w:p w14:paraId="08F91DED" w14:textId="12C8A415" w:rsidR="0030264E" w:rsidRDefault="0039458E" w:rsidP="009B038D">
            <w:pPr>
              <w:pStyle w:val="Bullets"/>
              <w:numPr>
                <w:ilvl w:val="0"/>
                <w:numId w:val="21"/>
              </w:numPr>
            </w:pPr>
            <w:r w:rsidRPr="0039458E">
              <w:rPr>
                <w:i/>
              </w:rPr>
              <w:t>All</w:t>
            </w:r>
            <w:r>
              <w:t xml:space="preserve"> of our key business reps have </w:t>
            </w:r>
            <w:r w:rsidR="00637CC9">
              <w:t>a</w:t>
            </w:r>
            <w:r w:rsidR="0030264E">
              <w:t xml:space="preserve"> clear understanding of the region’s overall business and economic climate, including key industries, business lifecycles, workforce trends and needs</w:t>
            </w:r>
          </w:p>
          <w:p w14:paraId="57FDB662" w14:textId="77777777" w:rsidR="0030264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Partners use </w:t>
            </w:r>
            <w:r w:rsidRPr="0039458E">
              <w:rPr>
                <w:i/>
              </w:rPr>
              <w:t>shared</w:t>
            </w:r>
            <w:r>
              <w:t xml:space="preserve"> LMI data as they approach and work with business—there is consensus among partners on key target industries, critical occupations, etc.</w:t>
            </w:r>
          </w:p>
          <w:p w14:paraId="3B4AAAAA" w14:textId="7A477A71" w:rsidR="0030264E" w:rsidRPr="00A476B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Business </w:t>
            </w:r>
            <w:r w:rsidRPr="00A476BE">
              <w:t>intelligence</w:t>
            </w:r>
            <w:r w:rsidR="00C83E26" w:rsidRPr="00A476BE">
              <w:t xml:space="preserve">—or </w:t>
            </w:r>
            <w:r w:rsidRPr="00A476BE">
              <w:t>tracking business engagement activity</w:t>
            </w:r>
            <w:r w:rsidR="00C83E26" w:rsidRPr="00A476BE">
              <w:t xml:space="preserve">—is </w:t>
            </w:r>
            <w:r w:rsidRPr="00A476BE">
              <w:t xml:space="preserve">managed across </w:t>
            </w:r>
            <w:r w:rsidR="00C83E26" w:rsidRPr="00A476BE">
              <w:t xml:space="preserve">key </w:t>
            </w:r>
            <w:r w:rsidRPr="00A476BE">
              <w:t>partners through a Customer Relationship Management (or related) system</w:t>
            </w:r>
            <w:r w:rsidR="00C83E26" w:rsidRPr="00A476BE">
              <w:t>.</w:t>
            </w:r>
            <w:r w:rsidRPr="00A476BE">
              <w:t xml:space="preserve"> </w:t>
            </w:r>
            <w:r w:rsidR="00C83E26" w:rsidRPr="00A476BE">
              <w:t>P</w:t>
            </w:r>
            <w:r w:rsidRPr="00A476BE">
              <w:t xml:space="preserve">artners have access to this information </w:t>
            </w:r>
            <w:r w:rsidR="00C83E26" w:rsidRPr="00A476BE">
              <w:t>and know how to use it (including understanding confidentiality responsibilities)</w:t>
            </w:r>
          </w:p>
          <w:p w14:paraId="3474EA9F" w14:textId="28A19763" w:rsidR="0030264E" w:rsidRPr="009743CE" w:rsidRDefault="0030264E" w:rsidP="009B038D">
            <w:pPr>
              <w:pStyle w:val="Bullets"/>
              <w:numPr>
                <w:ilvl w:val="0"/>
                <w:numId w:val="21"/>
              </w:numPr>
            </w:pPr>
            <w:r>
              <w:t xml:space="preserve">Business outreach representatives (across partners) share intelligence and coordinate and strategize follow-up. May include an organized business services team comprised of knowledgeable partners with ability to connect businesses to a full range of partner services 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0459B680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00BAECB9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73AC98BA" w14:textId="77777777" w:rsidR="0030264E" w:rsidRDefault="0030264E" w:rsidP="0039458E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1E182CBB" w14:textId="265DB319" w:rsidR="0039458E" w:rsidRDefault="0039458E" w:rsidP="0039458E">
            <w:pPr>
              <w:spacing w:line="192" w:lineRule="auto"/>
            </w:pPr>
          </w:p>
        </w:tc>
      </w:tr>
    </w:tbl>
    <w:p w14:paraId="4A6574E6" w14:textId="44F1DAAD" w:rsidR="0030264E" w:rsidRDefault="0030264E" w:rsidP="008A263A"/>
    <w:p w14:paraId="0D5EE728" w14:textId="77777777" w:rsidR="0030264E" w:rsidRDefault="0030264E">
      <w:pPr>
        <w:spacing w:before="0"/>
      </w:pPr>
      <w:r>
        <w:br w:type="page"/>
      </w:r>
    </w:p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480"/>
        <w:gridCol w:w="7280"/>
      </w:tblGrid>
      <w:tr w:rsidR="0030264E" w14:paraId="00A04798" w14:textId="77777777" w:rsidTr="00B342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CD6A7E0" w14:textId="0F82B42A" w:rsidR="0030264E" w:rsidRPr="0030264E" w:rsidRDefault="0030264E" w:rsidP="0030264E">
            <w:pPr>
              <w:pStyle w:val="Heading1"/>
              <w:outlineLvl w:val="0"/>
              <w:rPr>
                <w:b w:val="0"/>
              </w:rPr>
            </w:pP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Engaging with Businesses &amp; Delivering Solutions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21F2F4A6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1BA822BB" w14:textId="77777777" w:rsidTr="00B342E3">
        <w:tc>
          <w:tcPr>
            <w:tcW w:w="648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6865F21C" w14:textId="59C2C436" w:rsidR="0030264E" w:rsidRDefault="0030264E" w:rsidP="009B038D">
            <w:pPr>
              <w:pStyle w:val="Bullets"/>
              <w:numPr>
                <w:ilvl w:val="0"/>
                <w:numId w:val="22"/>
              </w:numPr>
            </w:pPr>
            <w:r>
              <w:t xml:space="preserve">Roles and responsibilities, as it relates to business engagement and follow up, are understood and embraced by all partners. </w:t>
            </w:r>
            <w:r w:rsidR="00DC6F58">
              <w:t>Coordination planning across partners occurs regularly.</w:t>
            </w:r>
          </w:p>
          <w:p w14:paraId="2A0605D3" w14:textId="280F2F4C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>
              <w:t>Our</w:t>
            </w:r>
            <w:r w:rsidR="0030264E">
              <w:t xml:space="preserve"> business outreach rep</w:t>
            </w:r>
            <w:r w:rsidR="00F20BAD">
              <w:t>s</w:t>
            </w:r>
            <w:r w:rsidR="0030264E">
              <w:t xml:space="preserve"> </w:t>
            </w:r>
            <w:r>
              <w:t>have the</w:t>
            </w:r>
            <w:r w:rsidR="0030264E">
              <w:t xml:space="preserve"> skills in building meaningful partnerships with businesses, both individually and in the context of multi-business industry partnerships. Includes ability to work with businesses to effectively validate and dig deep on talent needs</w:t>
            </w:r>
          </w:p>
          <w:p w14:paraId="324E25F4" w14:textId="21157F0F" w:rsidR="00DC6F58" w:rsidRPr="00A476BE" w:rsidRDefault="00DC6F58" w:rsidP="009B038D">
            <w:pPr>
              <w:pStyle w:val="Bullets"/>
              <w:numPr>
                <w:ilvl w:val="0"/>
                <w:numId w:val="22"/>
              </w:numPr>
            </w:pPr>
            <w:r w:rsidRPr="00A476BE">
              <w:t>Outreach representatives are adept at collecting key business needs/information when meeting with business, maximizing their contact and providing partners with referrals for the sake of all-encompassing solutions. Because we do this, it minimizes touchpoints with business limiting their “visit fatigue”</w:t>
            </w:r>
          </w:p>
          <w:p w14:paraId="441A2779" w14:textId="42D17ABA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>
              <w:t>We have a</w:t>
            </w:r>
            <w:r w:rsidR="0030264E">
              <w:t>n understanding, from working with key businesses, the natural progression/mobility of workers in</w:t>
            </w:r>
            <w:r>
              <w:t xml:space="preserve"> all</w:t>
            </w:r>
            <w:r w:rsidR="0030264E">
              <w:t xml:space="preserve"> targeted industries/occupations (i.e. career ladders/lattices)</w:t>
            </w:r>
          </w:p>
          <w:p w14:paraId="3A693329" w14:textId="3A2D09D9" w:rsidR="0030264E" w:rsidRDefault="0039458E" w:rsidP="009B038D">
            <w:pPr>
              <w:pStyle w:val="Bullets"/>
              <w:numPr>
                <w:ilvl w:val="0"/>
                <w:numId w:val="22"/>
              </w:numPr>
            </w:pPr>
            <w:r w:rsidRPr="00A476BE">
              <w:t xml:space="preserve">We have trust </w:t>
            </w:r>
            <w:r w:rsidR="0030264E" w:rsidRPr="00A476BE">
              <w:t>with businesses and key target industries</w:t>
            </w:r>
            <w:r w:rsidR="00DC6F58" w:rsidRPr="00A476BE">
              <w:t>—and an understanding of how to leverage resources</w:t>
            </w:r>
            <w:r w:rsidR="00DC6F58">
              <w:t xml:space="preserve">—to </w:t>
            </w:r>
            <w:r w:rsidR="0030264E">
              <w:t>build innovative business-focused programs/services including</w:t>
            </w:r>
            <w:r>
              <w:t>:</w:t>
            </w:r>
            <w:r w:rsidR="0030264E">
              <w:t xml:space="preserve"> work-based learning, apprenticeships, and other recruitment, hiring, training, and transition services.</w:t>
            </w:r>
          </w:p>
          <w:p w14:paraId="16A0B8CB" w14:textId="75CFF387" w:rsidR="0030264E" w:rsidRPr="009743CE" w:rsidRDefault="00FC6BE2" w:rsidP="009B038D">
            <w:pPr>
              <w:pStyle w:val="Bullets"/>
              <w:numPr>
                <w:ilvl w:val="0"/>
                <w:numId w:val="22"/>
              </w:numPr>
            </w:pPr>
            <w:r>
              <w:t>Our c</w:t>
            </w:r>
            <w:r w:rsidR="0030264E">
              <w:t xml:space="preserve">oordinated business </w:t>
            </w:r>
            <w:r>
              <w:t xml:space="preserve">services </w:t>
            </w:r>
            <w:r w:rsidR="0030264E">
              <w:t>represent “the whole” when in front of business. Follow up regularly includes bringing in the partner/resources to address the solution.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2EDE0FFD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18181CA4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742CEE9D" w14:textId="77777777" w:rsidR="0030264E" w:rsidRDefault="0030264E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700F727D" w14:textId="728F07D8" w:rsidR="00FC6BE2" w:rsidRDefault="00FC6BE2" w:rsidP="00FC6BE2">
            <w:pPr>
              <w:spacing w:line="192" w:lineRule="auto"/>
            </w:pPr>
          </w:p>
        </w:tc>
      </w:tr>
    </w:tbl>
    <w:p w14:paraId="3C7DE61E" w14:textId="00AF2EB3" w:rsidR="0030264E" w:rsidRDefault="0030264E" w:rsidP="008A263A"/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26522131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07EC4683" w14:textId="4BF7BE2C" w:rsidR="0030264E" w:rsidRPr="0030264E" w:rsidRDefault="0030264E" w:rsidP="0030264E">
            <w:pPr>
              <w:pStyle w:val="Heading1"/>
              <w:outlineLvl w:val="0"/>
              <w:rPr>
                <w:b w:val="0"/>
              </w:rPr>
            </w:pPr>
            <w:r>
              <w:br w:type="page"/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  <w:r w:rsidRPr="0030264E">
              <w:rPr>
                <w:b w:val="0"/>
              </w:rPr>
              <w:t xml:space="preserve"> </w:t>
            </w:r>
            <w:r>
              <w:rPr>
                <w:b w:val="0"/>
              </w:rPr>
              <w:t>Outreach &amp; Communication</w:t>
            </w:r>
            <w:r w:rsidRPr="0030264E">
              <w:rPr>
                <w:b w:val="0"/>
              </w:rPr>
              <w:t xml:space="preserve">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0E59CE75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08291B56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4B93CA4F" w14:textId="45BE683F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 xml:space="preserve">There is an adopted shared message for communicating to the business community the vision and strengths of the state’s/region’s integrated business services system </w:t>
            </w:r>
          </w:p>
          <w:p w14:paraId="7FC51336" w14:textId="77777777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Services being presented to businesses—from across partners—are not siloed or menu-driven, but focus on delivering solutions to expressed business needs</w:t>
            </w:r>
          </w:p>
          <w:p w14:paraId="467EE8A4" w14:textId="456665FA" w:rsidR="0030264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Messaging centers around concepts important to businesses including how these services will impact profitability and productivity</w:t>
            </w:r>
          </w:p>
          <w:p w14:paraId="673846A9" w14:textId="306CD3F0" w:rsidR="0030264E" w:rsidRPr="009743CE" w:rsidRDefault="0030264E" w:rsidP="009B038D">
            <w:pPr>
              <w:pStyle w:val="Bullets"/>
              <w:numPr>
                <w:ilvl w:val="0"/>
                <w:numId w:val="23"/>
              </w:numPr>
            </w:pPr>
            <w:r>
              <w:t>There is a consolidated brand and it is embraced by all partners serving businesses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74FBC185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793BFC61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571A2DA6" w14:textId="77777777" w:rsidR="0030264E" w:rsidRDefault="0030264E" w:rsidP="00FC6BE2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3973803D" w14:textId="77777777" w:rsidR="00FC6BE2" w:rsidRDefault="00FC6BE2" w:rsidP="00FC6BE2">
            <w:pPr>
              <w:spacing w:line="192" w:lineRule="auto"/>
            </w:pPr>
          </w:p>
          <w:p w14:paraId="161BC11E" w14:textId="77777777" w:rsidR="00B258F1" w:rsidRDefault="00B258F1" w:rsidP="00FC6BE2">
            <w:pPr>
              <w:spacing w:line="192" w:lineRule="auto"/>
            </w:pPr>
          </w:p>
          <w:p w14:paraId="5513D2CC" w14:textId="77777777" w:rsidR="00B258F1" w:rsidRDefault="00B258F1" w:rsidP="00FC6BE2">
            <w:pPr>
              <w:spacing w:line="192" w:lineRule="auto"/>
            </w:pPr>
          </w:p>
          <w:p w14:paraId="0A5E86D7" w14:textId="77777777" w:rsidR="00B258F1" w:rsidRDefault="00B258F1" w:rsidP="00FC6BE2">
            <w:pPr>
              <w:spacing w:line="192" w:lineRule="auto"/>
            </w:pPr>
          </w:p>
          <w:p w14:paraId="0A4E13E5" w14:textId="77777777" w:rsidR="00B258F1" w:rsidRDefault="00B258F1" w:rsidP="00FC6BE2">
            <w:pPr>
              <w:spacing w:line="192" w:lineRule="auto"/>
            </w:pPr>
          </w:p>
          <w:p w14:paraId="5D29DC2C" w14:textId="77777777" w:rsidR="00B258F1" w:rsidRDefault="00B258F1" w:rsidP="00FC6BE2">
            <w:pPr>
              <w:spacing w:line="192" w:lineRule="auto"/>
            </w:pPr>
          </w:p>
          <w:p w14:paraId="07DB9BD7" w14:textId="77777777" w:rsidR="00B258F1" w:rsidRDefault="00B258F1" w:rsidP="00FC6BE2">
            <w:pPr>
              <w:spacing w:line="192" w:lineRule="auto"/>
            </w:pPr>
          </w:p>
          <w:p w14:paraId="1A0C56F4" w14:textId="77777777" w:rsidR="00B258F1" w:rsidRDefault="00B258F1" w:rsidP="00FC6BE2">
            <w:pPr>
              <w:spacing w:line="192" w:lineRule="auto"/>
            </w:pPr>
          </w:p>
          <w:p w14:paraId="09475C04" w14:textId="77777777" w:rsidR="00B258F1" w:rsidRDefault="00B258F1" w:rsidP="00FC6BE2">
            <w:pPr>
              <w:spacing w:line="192" w:lineRule="auto"/>
            </w:pPr>
          </w:p>
          <w:p w14:paraId="0D4E1931" w14:textId="66709D17" w:rsidR="00B258F1" w:rsidRDefault="00B258F1" w:rsidP="00FC6BE2">
            <w:pPr>
              <w:spacing w:line="192" w:lineRule="auto"/>
            </w:pPr>
          </w:p>
        </w:tc>
      </w:tr>
    </w:tbl>
    <w:p w14:paraId="3C2F6129" w14:textId="5CA16E86" w:rsidR="0030264E" w:rsidRDefault="0030264E" w:rsidP="008A263A"/>
    <w:p w14:paraId="3819F827" w14:textId="77777777" w:rsidR="0030264E" w:rsidRDefault="0030264E">
      <w:pPr>
        <w:spacing w:before="0"/>
      </w:pPr>
      <w:r>
        <w:br w:type="page"/>
      </w:r>
    </w:p>
    <w:tbl>
      <w:tblPr>
        <w:tblStyle w:val="TableGrid"/>
        <w:tblW w:w="0" w:type="auto"/>
        <w:tblInd w:w="450" w:type="dxa"/>
        <w:tblLook w:val="0620" w:firstRow="1" w:lastRow="0" w:firstColumn="0" w:lastColumn="0" w:noHBand="1" w:noVBand="1"/>
      </w:tblPr>
      <w:tblGrid>
        <w:gridCol w:w="6030"/>
        <w:gridCol w:w="7280"/>
      </w:tblGrid>
      <w:tr w:rsidR="0030264E" w14:paraId="1EEFAF53" w14:textId="77777777" w:rsidTr="00BE0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tcMar>
              <w:bottom w:w="0" w:type="dxa"/>
            </w:tcMar>
            <w:vAlign w:val="bottom"/>
          </w:tcPr>
          <w:p w14:paraId="5751B21B" w14:textId="3EE46F81" w:rsidR="0030264E" w:rsidRPr="0030264E" w:rsidRDefault="0030264E" w:rsidP="00BE0E1F">
            <w:pPr>
              <w:pStyle w:val="Heading1"/>
              <w:outlineLvl w:val="0"/>
              <w:rPr>
                <w:b w:val="0"/>
              </w:rPr>
            </w:pP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lastRenderedPageBreak/>
              <w:sym w:font="Wingdings 2" w:char="F0AE"/>
            </w:r>
            <w:r w:rsidRPr="0030264E">
              <w:rPr>
                <w:b w:val="0"/>
              </w:rPr>
              <w:t xml:space="preserve"> </w:t>
            </w:r>
            <w:r>
              <w:rPr>
                <w:b w:val="0"/>
              </w:rPr>
              <w:t>Sustainability &amp; Continuous Improvement</w:t>
            </w:r>
            <w:r w:rsidRPr="0030264E">
              <w:rPr>
                <w:b w:val="0"/>
              </w:rPr>
              <w:t xml:space="preserve"> </w:t>
            </w:r>
            <w:r w:rsidRPr="0030264E">
              <w:rPr>
                <w:b w:val="0"/>
                <w:i w:val="0"/>
                <w14:textFill>
                  <w14:gradFill>
                    <w14:gsLst>
                      <w14:gs w14:pos="0">
                        <w14:schemeClr w14:val="accent2">
                          <w14:lumMod w14:val="89000"/>
                        </w14:schemeClr>
                      </w14:gs>
                      <w14:gs w14:pos="23000">
                        <w14:schemeClr w14:val="accent2">
                          <w14:lumMod w14:val="89000"/>
                        </w14:schemeClr>
                      </w14:gs>
                      <w14:gs w14:pos="69000">
                        <w14:schemeClr w14:val="accent2">
                          <w14:lumMod w14:val="75000"/>
                        </w14:schemeClr>
                      </w14:gs>
                      <w14:gs w14:pos="97000">
                        <w14:schemeClr w14:val="accent2">
                          <w14:lumMod w14:val="70000"/>
                        </w14:schemeClr>
                      </w14:gs>
                    </w14:gsLst>
                    <w14:path w14:path="circle">
                      <w14:fillToRect w14:l="50000" w14:t="50000" w14:r="50000" w14:b="50000"/>
                    </w14:path>
                  </w14:gradFill>
                </w14:textFill>
              </w:rPr>
              <w:sym w:font="Wingdings 2" w:char="F0AE"/>
            </w:r>
          </w:p>
        </w:tc>
        <w:tc>
          <w:tcPr>
            <w:tcW w:w="7280" w:type="dxa"/>
            <w:tcBorders>
              <w:top w:val="nil"/>
              <w:left w:val="nil"/>
              <w:bottom w:val="single" w:sz="24" w:space="0" w:color="A6A6A6" w:themeColor="background1" w:themeShade="A6"/>
              <w:right w:val="nil"/>
            </w:tcBorders>
            <w:tcMar>
              <w:bottom w:w="0" w:type="dxa"/>
            </w:tcMar>
            <w:vAlign w:val="bottom"/>
          </w:tcPr>
          <w:p w14:paraId="742A89A7" w14:textId="77777777" w:rsidR="0030264E" w:rsidRPr="00C5735E" w:rsidRDefault="0030264E" w:rsidP="00BE0E1F">
            <w:pPr>
              <w:spacing w:before="0" w:after="80" w:line="228" w:lineRule="auto"/>
              <w:rPr>
                <w:position w:val="4"/>
              </w:rPr>
            </w:pPr>
            <w:r w:rsidRPr="00C5735E">
              <w:rPr>
                <w:position w:val="4"/>
              </w:rPr>
              <w:t xml:space="preserve">Notes &amp; Overall Rating </w:t>
            </w:r>
            <w:r w:rsidRPr="00C5735E">
              <w:rPr>
                <w:rStyle w:val="Emphasis"/>
                <w:position w:val="4"/>
              </w:rPr>
              <w:t>(see key below)</w:t>
            </w:r>
          </w:p>
        </w:tc>
      </w:tr>
      <w:tr w:rsidR="0030264E" w14:paraId="3F31D464" w14:textId="77777777" w:rsidTr="00BE0E1F">
        <w:tc>
          <w:tcPr>
            <w:tcW w:w="6030" w:type="dxa"/>
            <w:tcBorders>
              <w:top w:val="nil"/>
              <w:left w:val="single" w:sz="48" w:space="0" w:color="FFFFFF" w:themeColor="background1"/>
              <w:right w:val="dashed" w:sz="4" w:space="0" w:color="D9D9D9" w:themeColor="accent4"/>
            </w:tcBorders>
          </w:tcPr>
          <w:p w14:paraId="66E3B94A" w14:textId="7EA7D055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>Coordinated cross-partnership measures (i.e. quantifiable goals</w:t>
            </w:r>
            <w:r w:rsidR="00FC6BE2">
              <w:t xml:space="preserve"> that likely go beyond WIOA measures</w:t>
            </w:r>
            <w:r>
              <w:t>) have been developed around engaging and serving businesses</w:t>
            </w:r>
          </w:p>
          <w:p w14:paraId="4948395A" w14:textId="23D7945C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 xml:space="preserve">A regional structure is in place (e.g. cross-partner committees, </w:t>
            </w:r>
            <w:r w:rsidR="00FC6BE2">
              <w:t xml:space="preserve">dedicated </w:t>
            </w:r>
            <w:r>
              <w:t xml:space="preserve">teams) to guide, implement and sustain this work </w:t>
            </w:r>
          </w:p>
          <w:p w14:paraId="72CD19FE" w14:textId="06527177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 xml:space="preserve">An effective staffing structure exists to support </w:t>
            </w:r>
            <w:r w:rsidR="00FC6BE2">
              <w:t xml:space="preserve">both </w:t>
            </w:r>
            <w:r>
              <w:t xml:space="preserve">industry sector partnerships (i.e. regional </w:t>
            </w:r>
            <w:r w:rsidR="00FC6BE2">
              <w:t>industry-wide</w:t>
            </w:r>
            <w:r>
              <w:t xml:space="preserve"> business engagement) and the day-to-day business outreach operations. </w:t>
            </w:r>
            <w:r w:rsidR="00FC6BE2">
              <w:t>For some this may mean the use of ‘industry navigators’ to support industry-wide work</w:t>
            </w:r>
          </w:p>
          <w:p w14:paraId="178A6DC7" w14:textId="77777777" w:rsidR="0030264E" w:rsidRDefault="0030264E" w:rsidP="002A716E">
            <w:pPr>
              <w:pStyle w:val="Bullets"/>
              <w:numPr>
                <w:ilvl w:val="0"/>
                <w:numId w:val="24"/>
              </w:numPr>
            </w:pPr>
            <w:r>
              <w:t>Cross-agency training is in place to ensure all partners are aware of the solutions inherent in th</w:t>
            </w:r>
            <w:r w:rsidR="00FC6BE2">
              <w:t>i</w:t>
            </w:r>
            <w:r>
              <w:t>s</w:t>
            </w:r>
            <w:r w:rsidR="00FC6BE2">
              <w:t xml:space="preserve"> type of</w:t>
            </w:r>
            <w:r>
              <w:t xml:space="preserve"> approach</w:t>
            </w:r>
          </w:p>
          <w:p w14:paraId="38E8E5A2" w14:textId="34A2298F" w:rsidR="002A716E" w:rsidRPr="009743CE" w:rsidRDefault="002A716E" w:rsidP="002A716E">
            <w:pPr>
              <w:pStyle w:val="Bullets"/>
              <w:numPr>
                <w:ilvl w:val="0"/>
                <w:numId w:val="24"/>
              </w:numPr>
            </w:pPr>
            <w:r w:rsidRPr="00A476BE">
              <w:t>Leadership buy-in exists across partnerships for demand-driven, coordinated services and shared performance goals &amp; outcomes</w:t>
            </w:r>
          </w:p>
        </w:tc>
        <w:tc>
          <w:tcPr>
            <w:tcW w:w="7280" w:type="dxa"/>
            <w:tcBorders>
              <w:top w:val="single" w:sz="24" w:space="0" w:color="A6A6A6" w:themeColor="background1" w:themeShade="A6"/>
              <w:left w:val="dashed" w:sz="4" w:space="0" w:color="D9D9D9" w:themeColor="accent4"/>
            </w:tcBorders>
          </w:tcPr>
          <w:p w14:paraId="59BE5151" w14:textId="77777777" w:rsidR="0030264E" w:rsidRDefault="0030264E" w:rsidP="00BE0E1F">
            <w:pPr>
              <w:pStyle w:val="Heading3"/>
              <w:pBdr>
                <w:bottom w:val="single" w:sz="12" w:space="2" w:color="3A7DBD" w:themeColor="accent6"/>
              </w:pBdr>
              <w:outlineLvl w:val="2"/>
            </w:pPr>
            <w:proofErr w:type="gramStart"/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①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②</w:t>
            </w:r>
            <w:proofErr w:type="gramEnd"/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③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④</w:t>
            </w:r>
            <w:r w:rsidRPr="00C5735E">
              <w:rPr>
                <w:rFonts w:asciiTheme="majorHAnsi" w:hAnsiTheme="majorHAnsi" w:cstheme="majorHAnsi"/>
                <w:i w:val="0"/>
                <w:color w:val="808080" w:themeColor="background1" w:themeShade="80"/>
              </w:rPr>
              <w:t xml:space="preserve">  </w:t>
            </w:r>
            <w:r w:rsidRPr="00C5735E">
              <w:rPr>
                <w:rFonts w:ascii="Cambria Math" w:hAnsi="Cambria Math"/>
                <w:i w:val="0"/>
                <w:color w:val="808080" w:themeColor="background1" w:themeShade="80"/>
              </w:rPr>
              <w:t>⑤</w:t>
            </w:r>
            <w:r w:rsidRPr="00C5735E">
              <w:rPr>
                <w:rFonts w:ascii="Cambria Math" w:hAnsi="Cambria Math"/>
                <w:color w:val="808080" w:themeColor="background1" w:themeShade="80"/>
              </w:rPr>
              <w:t xml:space="preserve">   </w:t>
            </w:r>
            <w:r w:rsidRPr="007D6792">
              <w:rPr>
                <w:rStyle w:val="Emphasis"/>
              </w:rPr>
              <w:sym w:font="Wingdings 2" w:char="F0AE"/>
            </w:r>
            <w:r w:rsidRPr="007D6792">
              <w:rPr>
                <w:rStyle w:val="Emphasis"/>
              </w:rPr>
              <w:t xml:space="preserve"> </w:t>
            </w:r>
            <w:r>
              <w:rPr>
                <w:rFonts w:ascii="Cambria Math" w:hAnsi="Cambria Math"/>
              </w:rPr>
              <w:t xml:space="preserve">  </w:t>
            </w:r>
            <w:r w:rsidRPr="007D6792">
              <w:t>Where/How could this be strengthened?</w:t>
            </w:r>
          </w:p>
          <w:p w14:paraId="75427115" w14:textId="77777777" w:rsidR="0030264E" w:rsidRPr="00C5735E" w:rsidRDefault="0030264E" w:rsidP="00BE0E1F">
            <w:pPr>
              <w:spacing w:before="60"/>
              <w:ind w:right="432"/>
              <w:jc w:val="right"/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</w:pP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7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Rate:</w:t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ab/>
            </w:r>
            <w:r w:rsidRPr="00C5735E">
              <w:rPr>
                <w:caps/>
                <w:color w:val="595959" w:themeColor="text1" w:themeTint="A6"/>
                <w:spacing w:val="24"/>
                <w:sz w:val="18"/>
                <w:szCs w:val="18"/>
              </w:rPr>
              <w:sym w:font="Wingdings 3" w:char="F0C8"/>
            </w:r>
            <w:r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 xml:space="preserve"> </w:t>
            </w:r>
            <w:r w:rsidRPr="00C5735E">
              <w:rPr>
                <w:i/>
                <w:caps/>
                <w:color w:val="595959" w:themeColor="text1" w:themeTint="A6"/>
                <w:spacing w:val="24"/>
                <w:sz w:val="18"/>
                <w:szCs w:val="18"/>
              </w:rPr>
              <w:t>Explain here:</w:t>
            </w:r>
          </w:p>
          <w:p w14:paraId="3DBDB09B" w14:textId="77777777" w:rsidR="0030264E" w:rsidRDefault="0030264E" w:rsidP="00B76449">
            <w:pPr>
              <w:spacing w:line="192" w:lineRule="auto"/>
              <w:rPr>
                <w:color w:val="BFBFBF" w:themeColor="background1" w:themeShade="BF"/>
                <w:sz w:val="72"/>
              </w:rPr>
            </w:pPr>
            <w:r w:rsidRPr="00C5735E">
              <w:rPr>
                <w:color w:val="BFBFBF" w:themeColor="background1" w:themeShade="BF"/>
                <w:sz w:val="72"/>
              </w:rPr>
              <w:sym w:font="Wingdings" w:char="F03F"/>
            </w:r>
          </w:p>
          <w:p w14:paraId="0611FF30" w14:textId="77777777" w:rsidR="00B76449" w:rsidRDefault="00B76449" w:rsidP="00B76449">
            <w:pPr>
              <w:spacing w:line="192" w:lineRule="auto"/>
            </w:pPr>
          </w:p>
          <w:p w14:paraId="31448919" w14:textId="77777777" w:rsidR="00B258F1" w:rsidRDefault="00B258F1" w:rsidP="00B76449">
            <w:pPr>
              <w:spacing w:line="192" w:lineRule="auto"/>
            </w:pPr>
          </w:p>
          <w:p w14:paraId="646307EC" w14:textId="77777777" w:rsidR="00B258F1" w:rsidRDefault="00B258F1" w:rsidP="00B76449">
            <w:pPr>
              <w:spacing w:line="192" w:lineRule="auto"/>
            </w:pPr>
          </w:p>
          <w:p w14:paraId="4FC9D8E0" w14:textId="77777777" w:rsidR="00B258F1" w:rsidRDefault="00B258F1" w:rsidP="00B76449">
            <w:pPr>
              <w:spacing w:line="192" w:lineRule="auto"/>
            </w:pPr>
          </w:p>
          <w:p w14:paraId="3480DBB8" w14:textId="77777777" w:rsidR="00B258F1" w:rsidRDefault="00B258F1" w:rsidP="00B76449">
            <w:pPr>
              <w:spacing w:line="192" w:lineRule="auto"/>
            </w:pPr>
          </w:p>
          <w:p w14:paraId="34D6A6FE" w14:textId="77777777" w:rsidR="00B258F1" w:rsidRDefault="00B258F1" w:rsidP="00B76449">
            <w:pPr>
              <w:spacing w:line="192" w:lineRule="auto"/>
            </w:pPr>
          </w:p>
          <w:p w14:paraId="5B4877DC" w14:textId="77777777" w:rsidR="00B258F1" w:rsidRDefault="00B258F1" w:rsidP="00B76449">
            <w:pPr>
              <w:spacing w:line="192" w:lineRule="auto"/>
            </w:pPr>
          </w:p>
          <w:p w14:paraId="3EDA0C63" w14:textId="77777777" w:rsidR="00B258F1" w:rsidRDefault="00B258F1" w:rsidP="00B76449">
            <w:pPr>
              <w:spacing w:line="192" w:lineRule="auto"/>
            </w:pPr>
          </w:p>
          <w:p w14:paraId="59ED1C5E" w14:textId="77777777" w:rsidR="00B258F1" w:rsidRDefault="00B258F1" w:rsidP="00B76449">
            <w:pPr>
              <w:spacing w:line="192" w:lineRule="auto"/>
            </w:pPr>
          </w:p>
          <w:p w14:paraId="00D0C4A3" w14:textId="77777777" w:rsidR="00B258F1" w:rsidRDefault="00B258F1" w:rsidP="00B76449">
            <w:pPr>
              <w:spacing w:line="192" w:lineRule="auto"/>
            </w:pPr>
          </w:p>
          <w:p w14:paraId="7B46D8DE" w14:textId="77777777" w:rsidR="00B258F1" w:rsidRDefault="00B258F1" w:rsidP="00B76449">
            <w:pPr>
              <w:spacing w:line="192" w:lineRule="auto"/>
            </w:pPr>
          </w:p>
          <w:p w14:paraId="177F7C4A" w14:textId="77777777" w:rsidR="00B258F1" w:rsidRDefault="00B258F1" w:rsidP="00B76449">
            <w:pPr>
              <w:spacing w:line="192" w:lineRule="auto"/>
            </w:pPr>
          </w:p>
          <w:p w14:paraId="126D616E" w14:textId="77777777" w:rsidR="00B258F1" w:rsidRDefault="00B258F1" w:rsidP="00B76449">
            <w:pPr>
              <w:spacing w:line="192" w:lineRule="auto"/>
            </w:pPr>
          </w:p>
          <w:p w14:paraId="10F9189C" w14:textId="10CFE413" w:rsidR="00B258F1" w:rsidRDefault="00B258F1" w:rsidP="00B76449">
            <w:pPr>
              <w:spacing w:line="192" w:lineRule="auto"/>
            </w:pPr>
          </w:p>
        </w:tc>
      </w:tr>
    </w:tbl>
    <w:p w14:paraId="682488CF" w14:textId="77777777" w:rsidR="00C200F0" w:rsidRDefault="00C200F0" w:rsidP="008A263A"/>
    <w:p w14:paraId="05703A2D" w14:textId="44AE6D89" w:rsidR="00D82C88" w:rsidRDefault="00D82C88" w:rsidP="0030264E">
      <w:pPr>
        <w:pStyle w:val="Heading1"/>
      </w:pPr>
    </w:p>
    <w:p w14:paraId="07132723" w14:textId="77777777" w:rsidR="00F65D53" w:rsidRDefault="00F65D53" w:rsidP="0030264E">
      <w:pPr>
        <w:pStyle w:val="Heading1"/>
      </w:pPr>
    </w:p>
    <w:sectPr w:rsidR="00F65D53" w:rsidSect="00B342E3">
      <w:headerReference w:type="default" r:id="rId13"/>
      <w:footerReference w:type="default" r:id="rId14"/>
      <w:pgSz w:w="15840" w:h="12240" w:orient="landscape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52E75E" w14:textId="77777777" w:rsidR="00481F5B" w:rsidRDefault="00481F5B" w:rsidP="008A263A">
      <w:r>
        <w:separator/>
      </w:r>
    </w:p>
  </w:endnote>
  <w:endnote w:type="continuationSeparator" w:id="0">
    <w:p w14:paraId="180FA4FE" w14:textId="77777777" w:rsidR="00481F5B" w:rsidRDefault="00481F5B" w:rsidP="008A2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55197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78479E" w14:textId="2350A80A" w:rsidR="00DB57D4" w:rsidRDefault="00DB57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DAA3CF" w14:textId="77777777" w:rsidR="00DB57D4" w:rsidRPr="00F65D53" w:rsidRDefault="00DB57D4" w:rsidP="00DB57D4">
    <w:pPr>
      <w:tabs>
        <w:tab w:val="center" w:pos="4680"/>
        <w:tab w:val="right" w:pos="9360"/>
      </w:tabs>
      <w:spacing w:after="0" w:line="240" w:lineRule="auto"/>
    </w:pPr>
    <w:r w:rsidRPr="001B5F65">
      <w:rPr>
        <w:rFonts w:eastAsiaTheme="minorEastAsia"/>
        <w:i/>
        <w:color w:val="FFFFFF" w:themeColor="background1"/>
        <w:spacing w:val="20"/>
        <w:sz w:val="24"/>
        <w:shd w:val="clear" w:color="auto" w:fill="1F497D" w:themeFill="text2"/>
      </w:rPr>
      <w:t>Overall Ratings:</w:t>
    </w:r>
    <w:r w:rsidRPr="001B5F65">
      <w:rPr>
        <w:smallCaps/>
        <w:color w:val="FFFFFF" w:themeColor="background1"/>
        <w:sz w:val="18"/>
        <w:shd w:val="clear" w:color="auto" w:fill="1F497D" w:themeFill="text2"/>
        <w14:textFill>
          <w14:gradFill>
            <w14:gsLst>
              <w14:gs w14:pos="0">
                <w14:schemeClr w14:val="accent6"/>
              </w14:gs>
              <w14:gs w14:pos="100000">
                <w14:schemeClr w14:val="accent1">
                  <w14:lumMod w14:val="75000"/>
                </w14:schemeClr>
              </w14:gs>
            </w14:gsLst>
            <w14:lin w14:ang="16200000" w14:scaled="0"/>
          </w14:gradFill>
        </w14:textFill>
      </w:rPr>
      <w:t xml:space="preserve"> </w:t>
    </w:r>
    <w:r w:rsidRPr="001B5F65">
      <w:rPr>
        <w:i/>
        <w:color w:val="FFFFFF" w:themeColor="background1"/>
        <w:sz w:val="12"/>
      </w:rPr>
      <w:t xml:space="preserve"> </w:t>
    </w:r>
    <w:r w:rsidRPr="001B5F65">
      <w:t xml:space="preserve">Fill in the bubbles that best describe your level of partnership, 1 – 5. </w:t>
    </w:r>
    <w:r w:rsidRPr="001B5F65">
      <w:tab/>
      <w:t xml:space="preserve"> </w:t>
    </w:r>
    <w:r w:rsidRPr="001B5F65">
      <w:rPr>
        <w:color w:val="1F497D" w:themeColor="accent1"/>
      </w:rPr>
      <w:tab/>
    </w:r>
    <w:r w:rsidRPr="001B5F65">
      <w:rPr>
        <w:rFonts w:ascii="Calibri" w:hAnsi="Calibri" w:cs="Calibri"/>
        <w:color w:val="1F497D" w:themeColor="accent1"/>
        <w:sz w:val="24"/>
      </w:rPr>
      <w:t xml:space="preserve">❶ </w:t>
    </w:r>
    <w:r w:rsidRPr="001B5F65">
      <w:t xml:space="preserve">= “Not at </w:t>
    </w:r>
    <w:proofErr w:type="gramStart"/>
    <w:r w:rsidRPr="001B5F65">
      <w:t xml:space="preserve">all”   </w:t>
    </w:r>
    <w:proofErr w:type="gramEnd"/>
    <w:r w:rsidRPr="001B5F65">
      <w:rPr>
        <w:rFonts w:ascii="Arial Black" w:hAnsi="Arial Black"/>
        <w:color w:val="DA0034" w:themeColor="accent2"/>
        <w14:textFill>
          <w14:gradFill>
            <w14:gsLst>
              <w14:gs w14:pos="0">
                <w14:schemeClr w14:val="accent2">
                  <w14:lumMod w14:val="89000"/>
                </w14:schemeClr>
              </w14:gs>
              <w14:gs w14:pos="23000">
                <w14:schemeClr w14:val="accent2">
                  <w14:lumMod w14:val="89000"/>
                </w14:schemeClr>
              </w14:gs>
              <w14:gs w14:pos="69000">
                <w14:schemeClr w14:val="accent2">
                  <w14:lumMod w14:val="75000"/>
                </w14:schemeClr>
              </w14:gs>
              <w14:gs w14:pos="97000">
                <w14:schemeClr w14:val="accent2">
                  <w14:lumMod w14:val="70000"/>
                </w14:schemeClr>
              </w14:gs>
            </w14:gsLst>
            <w14:lin w14:ang="16200000" w14:scaled="0"/>
          </w14:gradFill>
        </w14:textFill>
      </w:rPr>
      <w:t>|</w:t>
    </w:r>
    <w:r w:rsidRPr="001B5F65">
      <w:rPr>
        <w:color w:val="DA0034" w:themeColor="accent2"/>
      </w:rPr>
      <w:t xml:space="preserve"> </w:t>
    </w:r>
    <w:r w:rsidRPr="001B5F65">
      <w:t xml:space="preserve">  </w:t>
    </w:r>
    <w:r w:rsidRPr="001B5F65">
      <w:rPr>
        <w:rFonts w:ascii="Calibri" w:hAnsi="Calibri" w:cs="Calibri"/>
        <w:color w:val="1F497D" w:themeColor="accent1"/>
        <w:sz w:val="24"/>
      </w:rPr>
      <w:t>❺</w:t>
    </w:r>
    <w:r w:rsidRPr="001B5F65">
      <w:t xml:space="preserve"> = “We’re high-flying”</w:t>
    </w:r>
  </w:p>
  <w:p w14:paraId="3C8F0B7A" w14:textId="77777777" w:rsidR="00DB57D4" w:rsidRDefault="00DB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0C5A5E" w14:textId="77777777" w:rsidR="00481F5B" w:rsidRDefault="00481F5B" w:rsidP="008A263A">
      <w:r>
        <w:separator/>
      </w:r>
    </w:p>
  </w:footnote>
  <w:footnote w:type="continuationSeparator" w:id="0">
    <w:p w14:paraId="11D48F8C" w14:textId="77777777" w:rsidR="00481F5B" w:rsidRDefault="00481F5B" w:rsidP="008A2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931C1" w14:textId="77777777" w:rsidR="00CD6C57" w:rsidRPr="008A263A" w:rsidRDefault="00CD6C57" w:rsidP="007D6792">
    <w:pPr>
      <w:pStyle w:val="Headerline"/>
      <w:rPr>
        <w:rStyle w:val="Emphasis"/>
      </w:rPr>
    </w:pPr>
    <w:r w:rsidRPr="008A263A">
      <w:rPr>
        <w:rStyle w:val="Emphasis"/>
        <w:b w:val="0"/>
        <w:noProof/>
      </w:rPr>
      <w:drawing>
        <wp:anchor distT="0" distB="0" distL="114300" distR="114300" simplePos="0" relativeHeight="251661312" behindDoc="1" locked="0" layoutInCell="1" allowOverlap="1" wp14:anchorId="77B69FB0" wp14:editId="34191654">
          <wp:simplePos x="0" y="0"/>
          <wp:positionH relativeFrom="column">
            <wp:posOffset>-457200</wp:posOffset>
          </wp:positionH>
          <wp:positionV relativeFrom="page">
            <wp:posOffset>0</wp:posOffset>
          </wp:positionV>
          <wp:extent cx="6209414" cy="139838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6210923" cy="1398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63A">
      <w:rPr>
        <w:rStyle w:val="Emphasis"/>
        <w:b w:val="0"/>
      </w:rPr>
      <w:t>Integrated Business Services</w:t>
    </w:r>
    <w:r>
      <w:rPr>
        <w:color w:val="1F497D" w:themeColor="text2"/>
      </w:rPr>
      <w:t xml:space="preserve"> </w:t>
    </w:r>
    <w:r>
      <w:rPr>
        <w:color w:val="1F497D" w:themeColor="text2"/>
      </w:rPr>
      <w:sym w:font="Wingdings 2" w:char="F0AE"/>
    </w:r>
    <w:r>
      <w:rPr>
        <w:color w:val="1F497D" w:themeColor="text2"/>
      </w:rPr>
      <w:t xml:space="preserve"> </w:t>
    </w:r>
    <w:r w:rsidRPr="008A263A">
      <w:rPr>
        <w:rStyle w:val="Emphasis"/>
      </w:rPr>
      <w:t>Self-Assessment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16831"/>
    <w:multiLevelType w:val="multilevel"/>
    <w:tmpl w:val="FA0A0CA0"/>
    <w:numStyleLink w:val="TableBullets"/>
  </w:abstractNum>
  <w:abstractNum w:abstractNumId="1" w15:restartNumberingAfterBreak="0">
    <w:nsid w:val="0D2B4A63"/>
    <w:multiLevelType w:val="hybridMultilevel"/>
    <w:tmpl w:val="5382F856"/>
    <w:lvl w:ilvl="0" w:tplc="A748F2B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A0034" w:themeColor="accent2"/>
        <w:position w:val="-6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7D48"/>
    <w:multiLevelType w:val="multilevel"/>
    <w:tmpl w:val="FA0A0CA0"/>
    <w:styleLink w:val="TableBullets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1F497D" w:themeColor="accent1"/>
      </w:rPr>
    </w:lvl>
    <w:lvl w:ilvl="1">
      <w:start w:val="1"/>
      <w:numFmt w:val="bullet"/>
      <w:lvlText w:val="o"/>
      <w:lvlJc w:val="left"/>
      <w:pPr>
        <w:tabs>
          <w:tab w:val="num" w:pos="792"/>
        </w:tabs>
        <w:ind w:left="936" w:hanging="360"/>
      </w:pPr>
      <w:rPr>
        <w:rFonts w:ascii="Courier New" w:hAnsi="Courier New" w:hint="default"/>
        <w:color w:val="D9D9D9" w:themeColor="accent4"/>
      </w:rPr>
    </w:lvl>
    <w:lvl w:ilvl="2">
      <w:start w:val="1"/>
      <w:numFmt w:val="bullet"/>
      <w:lvlText w:val=""/>
      <w:lvlJc w:val="left"/>
      <w:pPr>
        <w:tabs>
          <w:tab w:val="num" w:pos="1368"/>
        </w:tabs>
        <w:ind w:left="15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44"/>
        </w:tabs>
        <w:ind w:left="2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96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72"/>
        </w:tabs>
        <w:ind w:left="38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48"/>
        </w:tabs>
        <w:ind w:left="43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824"/>
        </w:tabs>
        <w:ind w:left="4968" w:hanging="360"/>
      </w:pPr>
      <w:rPr>
        <w:rFonts w:ascii="Wingdings" w:hAnsi="Wingdings" w:hint="default"/>
      </w:rPr>
    </w:lvl>
  </w:abstractNum>
  <w:abstractNum w:abstractNumId="3" w15:restartNumberingAfterBreak="0">
    <w:nsid w:val="129E5DC4"/>
    <w:multiLevelType w:val="hybridMultilevel"/>
    <w:tmpl w:val="CD4EC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F7339"/>
    <w:multiLevelType w:val="multilevel"/>
    <w:tmpl w:val="FA0A0CA0"/>
    <w:numStyleLink w:val="TableBullets"/>
  </w:abstractNum>
  <w:abstractNum w:abstractNumId="5" w15:restartNumberingAfterBreak="0">
    <w:nsid w:val="15980C26"/>
    <w:multiLevelType w:val="hybridMultilevel"/>
    <w:tmpl w:val="465C9888"/>
    <w:lvl w:ilvl="0" w:tplc="EB76ABCC">
      <w:start w:val="1"/>
      <w:numFmt w:val="bullet"/>
      <w:lvlText w:val="®"/>
      <w:lvlJc w:val="left"/>
      <w:pPr>
        <w:ind w:left="360" w:firstLine="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41E4A"/>
    <w:multiLevelType w:val="hybridMultilevel"/>
    <w:tmpl w:val="78B432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6F15"/>
    <w:multiLevelType w:val="hybridMultilevel"/>
    <w:tmpl w:val="830E3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A929E9"/>
    <w:multiLevelType w:val="hybridMultilevel"/>
    <w:tmpl w:val="FA263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D3470"/>
    <w:multiLevelType w:val="hybridMultilevel"/>
    <w:tmpl w:val="1164A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135A7C"/>
    <w:multiLevelType w:val="hybridMultilevel"/>
    <w:tmpl w:val="0E2850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B0280"/>
    <w:multiLevelType w:val="multilevel"/>
    <w:tmpl w:val="DD4432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2C87"/>
    <w:multiLevelType w:val="hybridMultilevel"/>
    <w:tmpl w:val="DD4432F0"/>
    <w:lvl w:ilvl="0" w:tplc="CD64E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02F6C"/>
    <w:multiLevelType w:val="hybridMultilevel"/>
    <w:tmpl w:val="F1588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F634A"/>
    <w:multiLevelType w:val="hybridMultilevel"/>
    <w:tmpl w:val="2378390C"/>
    <w:lvl w:ilvl="0" w:tplc="F5F4122C">
      <w:start w:val="1"/>
      <w:numFmt w:val="bullet"/>
      <w:pStyle w:val="Bullets"/>
      <w:lvlText w:val="®"/>
      <w:lvlJc w:val="left"/>
      <w:pPr>
        <w:ind w:left="360" w:hanging="36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F242B9"/>
    <w:multiLevelType w:val="hybridMultilevel"/>
    <w:tmpl w:val="447A554A"/>
    <w:lvl w:ilvl="0" w:tplc="703C1442">
      <w:start w:val="1"/>
      <w:numFmt w:val="decimal"/>
      <w:lvlText w:val="%1."/>
      <w:lvlJc w:val="left"/>
      <w:pPr>
        <w:ind w:left="720" w:hanging="360"/>
      </w:pPr>
      <w:rPr>
        <w:b/>
        <w:position w:val="-4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BA1D30"/>
    <w:multiLevelType w:val="multilevel"/>
    <w:tmpl w:val="FA0A0CA0"/>
    <w:numStyleLink w:val="TableBullets"/>
  </w:abstractNum>
  <w:abstractNum w:abstractNumId="17" w15:restartNumberingAfterBreak="0">
    <w:nsid w:val="61501216"/>
    <w:multiLevelType w:val="hybridMultilevel"/>
    <w:tmpl w:val="FBC8E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A1F41"/>
    <w:multiLevelType w:val="hybridMultilevel"/>
    <w:tmpl w:val="6476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AB734B"/>
    <w:multiLevelType w:val="hybridMultilevel"/>
    <w:tmpl w:val="943E7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B0323"/>
    <w:multiLevelType w:val="hybridMultilevel"/>
    <w:tmpl w:val="1576A8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4455A"/>
    <w:multiLevelType w:val="hybridMultilevel"/>
    <w:tmpl w:val="C0808BB6"/>
    <w:lvl w:ilvl="0" w:tplc="E84ADD28">
      <w:start w:val="1"/>
      <w:numFmt w:val="bullet"/>
      <w:lvlText w:val="®"/>
      <w:lvlJc w:val="left"/>
      <w:pPr>
        <w:ind w:left="720" w:hanging="360"/>
      </w:pPr>
      <w:rPr>
        <w:rFonts w:ascii="Wingdings 2" w:hAnsi="Wingdings 2" w:hint="default"/>
        <w:color w:val="A30026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9B57F3"/>
    <w:multiLevelType w:val="multilevel"/>
    <w:tmpl w:val="FA0A0CA0"/>
    <w:numStyleLink w:val="TableBullets"/>
  </w:abstractNum>
  <w:abstractNum w:abstractNumId="23" w15:restartNumberingAfterBreak="0">
    <w:nsid w:val="6D3C6CC8"/>
    <w:multiLevelType w:val="hybridMultilevel"/>
    <w:tmpl w:val="FE7205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9"/>
  </w:num>
  <w:num w:numId="4">
    <w:abstractNumId w:val="12"/>
  </w:num>
  <w:num w:numId="5">
    <w:abstractNumId w:val="2"/>
  </w:num>
  <w:num w:numId="6">
    <w:abstractNumId w:val="0"/>
  </w:num>
  <w:num w:numId="7">
    <w:abstractNumId w:val="11"/>
  </w:num>
  <w:num w:numId="8">
    <w:abstractNumId w:val="22"/>
  </w:num>
  <w:num w:numId="9">
    <w:abstractNumId w:val="4"/>
  </w:num>
  <w:num w:numId="10">
    <w:abstractNumId w:val="16"/>
  </w:num>
  <w:num w:numId="11">
    <w:abstractNumId w:val="23"/>
  </w:num>
  <w:num w:numId="12">
    <w:abstractNumId w:val="9"/>
  </w:num>
  <w:num w:numId="13">
    <w:abstractNumId w:val="15"/>
  </w:num>
  <w:num w:numId="14">
    <w:abstractNumId w:val="7"/>
  </w:num>
  <w:num w:numId="15">
    <w:abstractNumId w:val="8"/>
  </w:num>
  <w:num w:numId="16">
    <w:abstractNumId w:val="21"/>
  </w:num>
  <w:num w:numId="17">
    <w:abstractNumId w:val="5"/>
  </w:num>
  <w:num w:numId="18">
    <w:abstractNumId w:val="14"/>
  </w:num>
  <w:num w:numId="19">
    <w:abstractNumId w:val="3"/>
  </w:num>
  <w:num w:numId="20">
    <w:abstractNumId w:val="20"/>
  </w:num>
  <w:num w:numId="21">
    <w:abstractNumId w:val="6"/>
  </w:num>
  <w:num w:numId="22">
    <w:abstractNumId w:val="10"/>
  </w:num>
  <w:num w:numId="23">
    <w:abstractNumId w:val="17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6"/>
    <w:rsid w:val="0001158A"/>
    <w:rsid w:val="000B5C14"/>
    <w:rsid w:val="000C3BC4"/>
    <w:rsid w:val="00103A07"/>
    <w:rsid w:val="00133593"/>
    <w:rsid w:val="00182089"/>
    <w:rsid w:val="00185008"/>
    <w:rsid w:val="001852A8"/>
    <w:rsid w:val="001B5F65"/>
    <w:rsid w:val="001C6FE9"/>
    <w:rsid w:val="00263AFE"/>
    <w:rsid w:val="00264A46"/>
    <w:rsid w:val="00292DA1"/>
    <w:rsid w:val="002A716E"/>
    <w:rsid w:val="002B4B00"/>
    <w:rsid w:val="002D38EA"/>
    <w:rsid w:val="002D6E2E"/>
    <w:rsid w:val="0030264E"/>
    <w:rsid w:val="00307B57"/>
    <w:rsid w:val="00385CE2"/>
    <w:rsid w:val="0039458E"/>
    <w:rsid w:val="00397633"/>
    <w:rsid w:val="003B100E"/>
    <w:rsid w:val="003B3036"/>
    <w:rsid w:val="003C2ED4"/>
    <w:rsid w:val="003C31BF"/>
    <w:rsid w:val="003F0F4F"/>
    <w:rsid w:val="00401219"/>
    <w:rsid w:val="00410A61"/>
    <w:rsid w:val="004223A1"/>
    <w:rsid w:val="00432C8C"/>
    <w:rsid w:val="00435002"/>
    <w:rsid w:val="004360D4"/>
    <w:rsid w:val="00443208"/>
    <w:rsid w:val="0045015C"/>
    <w:rsid w:val="00463322"/>
    <w:rsid w:val="00467336"/>
    <w:rsid w:val="0047401B"/>
    <w:rsid w:val="00480DC3"/>
    <w:rsid w:val="00481F5B"/>
    <w:rsid w:val="00483719"/>
    <w:rsid w:val="0048671E"/>
    <w:rsid w:val="004E22D7"/>
    <w:rsid w:val="004E335A"/>
    <w:rsid w:val="004E4109"/>
    <w:rsid w:val="004F3FA6"/>
    <w:rsid w:val="004F4A3E"/>
    <w:rsid w:val="00514235"/>
    <w:rsid w:val="005515F3"/>
    <w:rsid w:val="005765E0"/>
    <w:rsid w:val="005C5F45"/>
    <w:rsid w:val="005F5FA7"/>
    <w:rsid w:val="00606A12"/>
    <w:rsid w:val="00632064"/>
    <w:rsid w:val="00637CC9"/>
    <w:rsid w:val="00664BFE"/>
    <w:rsid w:val="00676827"/>
    <w:rsid w:val="006809E3"/>
    <w:rsid w:val="0069003C"/>
    <w:rsid w:val="00692AE0"/>
    <w:rsid w:val="006D1F4C"/>
    <w:rsid w:val="006E3C5A"/>
    <w:rsid w:val="00705EA3"/>
    <w:rsid w:val="00732992"/>
    <w:rsid w:val="0074292E"/>
    <w:rsid w:val="00742A04"/>
    <w:rsid w:val="0074568E"/>
    <w:rsid w:val="00750D73"/>
    <w:rsid w:val="00776A6A"/>
    <w:rsid w:val="007864FE"/>
    <w:rsid w:val="007A6ACD"/>
    <w:rsid w:val="007A7469"/>
    <w:rsid w:val="007D24E0"/>
    <w:rsid w:val="007D6792"/>
    <w:rsid w:val="007D70D5"/>
    <w:rsid w:val="007D7C01"/>
    <w:rsid w:val="007E460C"/>
    <w:rsid w:val="00805ED1"/>
    <w:rsid w:val="008413FE"/>
    <w:rsid w:val="008A263A"/>
    <w:rsid w:val="008B211B"/>
    <w:rsid w:val="008B2655"/>
    <w:rsid w:val="008C715D"/>
    <w:rsid w:val="008D26DD"/>
    <w:rsid w:val="008F1277"/>
    <w:rsid w:val="00907DB2"/>
    <w:rsid w:val="00927B37"/>
    <w:rsid w:val="0094698E"/>
    <w:rsid w:val="00964A68"/>
    <w:rsid w:val="009743CE"/>
    <w:rsid w:val="009A50B9"/>
    <w:rsid w:val="009B005C"/>
    <w:rsid w:val="009B038D"/>
    <w:rsid w:val="009E556A"/>
    <w:rsid w:val="00A476BE"/>
    <w:rsid w:val="00A9337F"/>
    <w:rsid w:val="00AC79BB"/>
    <w:rsid w:val="00AE093C"/>
    <w:rsid w:val="00AF13DB"/>
    <w:rsid w:val="00B16DA7"/>
    <w:rsid w:val="00B258F1"/>
    <w:rsid w:val="00B342E3"/>
    <w:rsid w:val="00B46E3E"/>
    <w:rsid w:val="00B75FC6"/>
    <w:rsid w:val="00B76449"/>
    <w:rsid w:val="00B808BD"/>
    <w:rsid w:val="00B830DF"/>
    <w:rsid w:val="00B85261"/>
    <w:rsid w:val="00B94CFE"/>
    <w:rsid w:val="00BB228C"/>
    <w:rsid w:val="00BC56F5"/>
    <w:rsid w:val="00BD312C"/>
    <w:rsid w:val="00C16258"/>
    <w:rsid w:val="00C200F0"/>
    <w:rsid w:val="00C20235"/>
    <w:rsid w:val="00C26B47"/>
    <w:rsid w:val="00C44ADE"/>
    <w:rsid w:val="00C5735E"/>
    <w:rsid w:val="00C83E26"/>
    <w:rsid w:val="00C8651F"/>
    <w:rsid w:val="00C9701C"/>
    <w:rsid w:val="00CB27BA"/>
    <w:rsid w:val="00CD5289"/>
    <w:rsid w:val="00CD6C57"/>
    <w:rsid w:val="00D14CAF"/>
    <w:rsid w:val="00D1749C"/>
    <w:rsid w:val="00D33219"/>
    <w:rsid w:val="00D40F63"/>
    <w:rsid w:val="00D621DE"/>
    <w:rsid w:val="00D64190"/>
    <w:rsid w:val="00D76D0A"/>
    <w:rsid w:val="00D82C88"/>
    <w:rsid w:val="00D831C0"/>
    <w:rsid w:val="00DB1AB5"/>
    <w:rsid w:val="00DB57D4"/>
    <w:rsid w:val="00DC186B"/>
    <w:rsid w:val="00DC6F58"/>
    <w:rsid w:val="00DF63E8"/>
    <w:rsid w:val="00E05DBA"/>
    <w:rsid w:val="00E4262F"/>
    <w:rsid w:val="00E66777"/>
    <w:rsid w:val="00EA7056"/>
    <w:rsid w:val="00EC4DC7"/>
    <w:rsid w:val="00EC7D5A"/>
    <w:rsid w:val="00EE42EA"/>
    <w:rsid w:val="00EE46C7"/>
    <w:rsid w:val="00F0515C"/>
    <w:rsid w:val="00F20BAD"/>
    <w:rsid w:val="00F65D53"/>
    <w:rsid w:val="00F66631"/>
    <w:rsid w:val="00F936A8"/>
    <w:rsid w:val="00FA3A2B"/>
    <w:rsid w:val="00FB7FFB"/>
    <w:rsid w:val="00FC6BE2"/>
    <w:rsid w:val="00FF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35ED2C"/>
  <w15:chartTrackingRefBased/>
  <w15:docId w15:val="{3155031E-3A69-42D5-A1D3-D2C23169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63A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0264E"/>
    <w:pPr>
      <w:spacing w:after="120" w:line="216" w:lineRule="auto"/>
      <w:ind w:left="288"/>
      <w:jc w:val="center"/>
      <w:outlineLvl w:val="0"/>
    </w:pPr>
    <w:rPr>
      <w:rFonts w:ascii="Arial Narrow" w:hAnsi="Arial Narrow"/>
      <w:i/>
      <w:smallCaps/>
      <w:color w:val="1F497D" w:themeColor="accent1"/>
      <w:spacing w:val="4"/>
      <w:sz w:val="48"/>
      <w:u w:val="single" w:color="D9D9D9" w:themeColor="accent4"/>
      <w14:textFill>
        <w14:gradFill>
          <w14:gsLst>
            <w14:gs w14:pos="0">
              <w14:schemeClr w14:val="accent6"/>
            </w14:gs>
            <w14:gs w14:pos="100000">
              <w14:schemeClr w14:val="accent1">
                <w14:lumMod w14:val="75000"/>
              </w14:schemeClr>
            </w14:gs>
          </w14:gsLst>
          <w14:lin w14:ang="16200000" w14:scaled="0"/>
        </w14:gradFill>
      </w14:textFill>
    </w:rPr>
  </w:style>
  <w:style w:type="paragraph" w:styleId="Heading2">
    <w:name w:val="heading 2"/>
    <w:next w:val="Normal"/>
    <w:link w:val="Heading2Char"/>
    <w:uiPriority w:val="9"/>
    <w:unhideWhenUsed/>
    <w:qFormat/>
    <w:rsid w:val="00480DC3"/>
    <w:pPr>
      <w:spacing w:before="240"/>
      <w:outlineLvl w:val="1"/>
    </w:pPr>
    <w:rPr>
      <w:rFonts w:ascii="Arial Narrow" w:eastAsiaTheme="majorEastAsia" w:hAnsi="Arial Narrow" w:cstheme="majorBidi"/>
      <w:b/>
      <w:color w:val="1F497D" w:themeColor="accent1"/>
      <w:spacing w:val="10"/>
      <w:sz w:val="4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6792"/>
    <w:pPr>
      <w:keepNext/>
      <w:keepLines/>
      <w:pBdr>
        <w:bottom w:val="single" w:sz="12" w:space="1" w:color="3A7DBD" w:themeColor="accent6"/>
      </w:pBdr>
      <w:spacing w:before="40" w:after="0" w:line="240" w:lineRule="auto"/>
      <w:jc w:val="center"/>
      <w:outlineLvl w:val="2"/>
    </w:pPr>
    <w:rPr>
      <w:rFonts w:eastAsiaTheme="majorEastAsia" w:cs="Cambria Math"/>
      <w:i/>
      <w:color w:val="0F243E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B00"/>
    <w:pPr>
      <w:spacing w:before="840" w:after="0" w:line="204" w:lineRule="auto"/>
      <w:contextualSpacing/>
      <w:jc w:val="right"/>
    </w:pPr>
    <w:rPr>
      <w:rFonts w:ascii="Arial Narrow" w:eastAsiaTheme="majorEastAsia" w:hAnsi="Arial Narrow" w:cstheme="majorBidi"/>
      <w:b/>
      <w:color w:val="FFFFFF" w:themeColor="background1"/>
      <w:spacing w:val="10"/>
      <w:kern w:val="28"/>
      <w:position w:val="20"/>
      <w:sz w:val="68"/>
      <w:szCs w:val="68"/>
      <w14:shadow w14:blurRad="114300" w14:dist="0" w14:dir="0" w14:sx="0" w14:sy="0" w14:kx="0" w14:ky="0" w14:algn="none">
        <w14:srgbClr w14:val="000000"/>
      </w14:shadow>
      <w14:textFill>
        <w14:gradFill>
          <w14:gsLst>
            <w14:gs w14:pos="0">
              <w14:schemeClr w14:val="accent6">
                <w14:lumMod w14:val="75000"/>
              </w14:schemeClr>
            </w14:gs>
            <w14:gs w14:pos="100000">
              <w14:schemeClr w14:val="accent1">
                <w14:lumMod w14:val="60000"/>
                <w14:lumOff w14:val="40000"/>
              </w14:schemeClr>
            </w14:gs>
          </w14:gsLst>
          <w14:lin w14:ang="16200000" w14:scaled="0"/>
        </w14:gra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2B4B00"/>
    <w:rPr>
      <w:rFonts w:ascii="Arial Narrow" w:eastAsiaTheme="majorEastAsia" w:hAnsi="Arial Narrow" w:cstheme="majorBidi"/>
      <w:b/>
      <w:color w:val="FFFFFF" w:themeColor="background1"/>
      <w:spacing w:val="10"/>
      <w:kern w:val="28"/>
      <w:position w:val="20"/>
      <w:sz w:val="68"/>
      <w:szCs w:val="68"/>
      <w14:shadow w14:blurRad="114300" w14:dist="0" w14:dir="0" w14:sx="0" w14:sy="0" w14:kx="0" w14:ky="0" w14:algn="none">
        <w14:srgbClr w14:val="000000"/>
      </w14:shadow>
      <w14:textFill>
        <w14:gradFill>
          <w14:gsLst>
            <w14:gs w14:pos="0">
              <w14:schemeClr w14:val="accent6">
                <w14:lumMod w14:val="75000"/>
              </w14:schemeClr>
            </w14:gs>
            <w14:gs w14:pos="100000">
              <w14:schemeClr w14:val="accent1">
                <w14:lumMod w14:val="60000"/>
                <w14:lumOff w14:val="40000"/>
              </w14:schemeClr>
            </w14:gs>
          </w14:gsLst>
          <w14:lin w14:ang="16200000" w14:scaled="0"/>
        </w14:gradFill>
      </w14:textFill>
    </w:rPr>
  </w:style>
  <w:style w:type="paragraph" w:styleId="Subtitle">
    <w:name w:val="Subtitle"/>
    <w:basedOn w:val="Normal"/>
    <w:next w:val="Normal"/>
    <w:link w:val="SubtitleChar"/>
    <w:uiPriority w:val="11"/>
    <w:qFormat/>
    <w:rsid w:val="002B4B00"/>
    <w:pPr>
      <w:numPr>
        <w:ilvl w:val="1"/>
      </w:numPr>
      <w:pBdr>
        <w:top w:val="single" w:sz="24" w:space="1" w:color="A30026" w:themeColor="accent2" w:themeShade="BF"/>
        <w:bottom w:val="single" w:sz="24" w:space="1" w:color="1F497D" w:themeColor="text2"/>
      </w:pBdr>
      <w:shd w:val="clear" w:color="auto" w:fill="1F497D" w:themeFill="text2"/>
      <w:spacing w:after="0" w:line="240" w:lineRule="auto"/>
      <w:ind w:left="-288" w:right="-288"/>
      <w:jc w:val="center"/>
    </w:pPr>
    <w:rPr>
      <w:rFonts w:eastAsiaTheme="minorEastAsia"/>
      <w:color w:val="FFFFFF" w:themeColor="background1"/>
      <w:spacing w:val="35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2B4B00"/>
    <w:rPr>
      <w:rFonts w:eastAsiaTheme="minorEastAsia"/>
      <w:color w:val="FFFFFF" w:themeColor="background1"/>
      <w:spacing w:val="35"/>
      <w:sz w:val="36"/>
      <w:shd w:val="clear" w:color="auto" w:fill="1F497D" w:themeFill="text2"/>
    </w:rPr>
  </w:style>
  <w:style w:type="paragraph" w:styleId="ListParagraph">
    <w:name w:val="List Paragraph"/>
    <w:basedOn w:val="Normal"/>
    <w:link w:val="ListParagraphChar"/>
    <w:uiPriority w:val="34"/>
    <w:qFormat/>
    <w:rsid w:val="00964A68"/>
    <w:pPr>
      <w:ind w:left="288"/>
    </w:pPr>
  </w:style>
  <w:style w:type="table" w:styleId="TableGrid">
    <w:name w:val="Table Grid"/>
    <w:aliases w:val="Assessment Table"/>
    <w:basedOn w:val="TableNormal"/>
    <w:uiPriority w:val="39"/>
    <w:rsid w:val="008A263A"/>
    <w:pPr>
      <w:spacing w:after="0" w:line="240" w:lineRule="auto"/>
    </w:pPr>
    <w:tblPr>
      <w:tblBorders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5" w:type="dxa"/>
        <w:left w:w="115" w:type="dxa"/>
        <w:bottom w:w="115" w:type="dxa"/>
        <w:right w:w="115" w:type="dxa"/>
      </w:tblCellMar>
    </w:tblPr>
    <w:tblStylePr w:type="firstRow">
      <w:pPr>
        <w:wordWrap/>
        <w:spacing w:beforeLines="0" w:before="0" w:beforeAutospacing="0" w:afterLines="0" w:after="0" w:afterAutospacing="0" w:line="216" w:lineRule="auto"/>
        <w:jc w:val="center"/>
      </w:pPr>
      <w:rPr>
        <w:rFonts w:ascii="Arial Narrow" w:hAnsi="Arial Narrow"/>
        <w:b/>
        <w:i w:val="0"/>
        <w:color w:val="1F497D" w:themeColor="accent1"/>
        <w:spacing w:val="4"/>
        <w:sz w:val="32"/>
      </w:rPr>
    </w:tblStylePr>
    <w:tblStylePr w:type="firstCol">
      <w:pPr>
        <w:wordWrap/>
        <w:spacing w:line="216" w:lineRule="auto"/>
        <w:jc w:val="center"/>
      </w:pPr>
      <w:rPr>
        <w:rFonts w:ascii="Arial Black" w:hAnsi="Arial Black"/>
        <w:b/>
        <w:i w:val="0"/>
        <w:color w:val="FFFFFF" w:themeColor="background1"/>
        <w:sz w:val="4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A7DBD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75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FC6"/>
    <w:rPr>
      <w:rFonts w:ascii="Segoe UI" w:hAnsi="Segoe UI" w:cs="Segoe UI"/>
      <w:sz w:val="18"/>
      <w:szCs w:val="18"/>
    </w:rPr>
  </w:style>
  <w:style w:type="character" w:styleId="Emphasis">
    <w:name w:val="Emphasis"/>
    <w:uiPriority w:val="20"/>
    <w:qFormat/>
    <w:rsid w:val="00263AFE"/>
    <w:rPr>
      <w:rFonts w:ascii="Arial Narrow" w:hAnsi="Arial Narrow"/>
      <w:b/>
      <w:i/>
      <w:spacing w:val="4"/>
      <w:w w:val="110"/>
      <w:sz w:val="24"/>
      <w14:textFill>
        <w14:gradFill>
          <w14:gsLst>
            <w14:gs w14:pos="0">
              <w14:schemeClr w14:val="accent2">
                <w14:lumMod w14:val="89000"/>
              </w14:schemeClr>
            </w14:gs>
            <w14:gs w14:pos="23000">
              <w14:schemeClr w14:val="accent2">
                <w14:lumMod w14:val="89000"/>
              </w14:schemeClr>
            </w14:gs>
            <w14:gs w14:pos="69000">
              <w14:schemeClr w14:val="accent2">
                <w14:lumMod w14:val="75000"/>
              </w14:schemeClr>
            </w14:gs>
            <w14:gs w14:pos="97000">
              <w14:schemeClr w14:val="accent2">
                <w14:lumMod w14:val="70000"/>
              </w14:schemeClr>
            </w14:gs>
          </w14:gsLst>
          <w14:lin w14:ang="162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uiPriority w:val="9"/>
    <w:rsid w:val="0030264E"/>
    <w:rPr>
      <w:rFonts w:ascii="Arial Narrow" w:hAnsi="Arial Narrow"/>
      <w:i/>
      <w:smallCaps/>
      <w:color w:val="1F497D" w:themeColor="accent1"/>
      <w:spacing w:val="4"/>
      <w:sz w:val="48"/>
      <w:u w:val="single" w:color="D9D9D9" w:themeColor="accent4"/>
      <w14:textFill>
        <w14:gradFill>
          <w14:gsLst>
            <w14:gs w14:pos="0">
              <w14:schemeClr w14:val="accent6"/>
            </w14:gs>
            <w14:gs w14:pos="100000">
              <w14:schemeClr w14:val="accent1">
                <w14:lumMod w14:val="75000"/>
              </w14:schemeClr>
            </w14:gs>
          </w14:gsLst>
          <w14:lin w14:ang="16200000" w14:scaled="0"/>
        </w14:gradFill>
      </w14:textFill>
    </w:rPr>
  </w:style>
  <w:style w:type="paragraph" w:styleId="Header">
    <w:name w:val="header"/>
    <w:basedOn w:val="Normal"/>
    <w:link w:val="HeaderChar"/>
    <w:uiPriority w:val="99"/>
    <w:unhideWhenUsed/>
    <w:rsid w:val="0010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A07"/>
  </w:style>
  <w:style w:type="paragraph" w:styleId="Footer">
    <w:name w:val="footer"/>
    <w:basedOn w:val="Normal"/>
    <w:link w:val="FooterChar"/>
    <w:uiPriority w:val="99"/>
    <w:unhideWhenUsed/>
    <w:rsid w:val="00103A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A07"/>
  </w:style>
  <w:style w:type="numbering" w:customStyle="1" w:styleId="TableBullets">
    <w:name w:val="Table Bullets"/>
    <w:uiPriority w:val="99"/>
    <w:rsid w:val="00EC7D5A"/>
    <w:pPr>
      <w:numPr>
        <w:numId w:val="5"/>
      </w:numPr>
    </w:pPr>
  </w:style>
  <w:style w:type="character" w:styleId="Hyperlink">
    <w:name w:val="Hyperlink"/>
    <w:basedOn w:val="DefaultParagraphFont"/>
    <w:uiPriority w:val="99"/>
    <w:unhideWhenUsed/>
    <w:rsid w:val="008C715D"/>
    <w:rPr>
      <w:color w:val="3A7DB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5D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4235"/>
  </w:style>
  <w:style w:type="paragraph" w:customStyle="1" w:styleId="Bubbles">
    <w:name w:val="Bubbles"/>
    <w:basedOn w:val="Normal"/>
    <w:link w:val="BubblesChar"/>
    <w:qFormat/>
    <w:rsid w:val="005C5F45"/>
    <w:pPr>
      <w:spacing w:after="120" w:line="240" w:lineRule="auto"/>
      <w:jc w:val="center"/>
    </w:pPr>
    <w:rPr>
      <w:rFonts w:ascii="Calibri" w:hAnsi="Calibri" w:cs="Calibri"/>
      <w:color w:val="7F7F7F" w:themeColor="text1" w:themeTint="80"/>
      <w:sz w:val="24"/>
    </w:rPr>
  </w:style>
  <w:style w:type="paragraph" w:customStyle="1" w:styleId="Bubblenote">
    <w:name w:val="Bubble note"/>
    <w:basedOn w:val="Normal"/>
    <w:next w:val="Normal"/>
    <w:link w:val="BubblenoteChar"/>
    <w:qFormat/>
    <w:rsid w:val="005C5F45"/>
    <w:pPr>
      <w:pBdr>
        <w:top w:val="single" w:sz="4" w:space="2" w:color="A6A6A6" w:themeColor="background1" w:themeShade="A6"/>
        <w:bottom w:val="single" w:sz="4" w:space="1" w:color="A6A6A6" w:themeColor="background1" w:themeShade="A6"/>
      </w:pBdr>
      <w:spacing w:after="0" w:line="216" w:lineRule="auto"/>
      <w:ind w:left="144" w:right="144"/>
      <w:jc w:val="center"/>
    </w:pPr>
    <w:rPr>
      <w:b/>
      <w:color w:val="DA0034" w:themeColor="accent2"/>
    </w:rPr>
  </w:style>
  <w:style w:type="character" w:customStyle="1" w:styleId="BubblesChar">
    <w:name w:val="Bubbles Char"/>
    <w:basedOn w:val="DefaultParagraphFont"/>
    <w:link w:val="Bubbles"/>
    <w:rsid w:val="005C5F45"/>
    <w:rPr>
      <w:rFonts w:ascii="Calibri" w:hAnsi="Calibri" w:cs="Calibri"/>
      <w:color w:val="7F7F7F" w:themeColor="text1" w:themeTint="80"/>
      <w:sz w:val="24"/>
    </w:rPr>
  </w:style>
  <w:style w:type="paragraph" w:customStyle="1" w:styleId="Partner">
    <w:name w:val="Partner"/>
    <w:basedOn w:val="Normal"/>
    <w:link w:val="PartnerChar"/>
    <w:qFormat/>
    <w:rsid w:val="00DC186B"/>
    <w:pPr>
      <w:spacing w:before="40" w:after="120" w:line="276" w:lineRule="auto"/>
    </w:pPr>
    <w:rPr>
      <w:b/>
      <w:sz w:val="23"/>
      <w:szCs w:val="23"/>
    </w:rPr>
  </w:style>
  <w:style w:type="character" w:customStyle="1" w:styleId="BubblenoteChar">
    <w:name w:val="Bubble note Char"/>
    <w:basedOn w:val="DefaultParagraphFont"/>
    <w:link w:val="Bubblenote"/>
    <w:rsid w:val="005C5F45"/>
    <w:rPr>
      <w:b/>
      <w:color w:val="DA0034" w:themeColor="accent2"/>
    </w:rPr>
  </w:style>
  <w:style w:type="paragraph" w:customStyle="1" w:styleId="Bullets">
    <w:name w:val="Bullets"/>
    <w:basedOn w:val="criterionparagraph"/>
    <w:link w:val="BulletsChar"/>
    <w:qFormat/>
    <w:rsid w:val="009743CE"/>
    <w:pPr>
      <w:numPr>
        <w:numId w:val="18"/>
      </w:numPr>
      <w:spacing w:after="200"/>
    </w:pPr>
  </w:style>
  <w:style w:type="character" w:customStyle="1" w:styleId="PartnerChar">
    <w:name w:val="Partner Char"/>
    <w:basedOn w:val="DefaultParagraphFont"/>
    <w:link w:val="Partner"/>
    <w:rsid w:val="00DC186B"/>
    <w:rPr>
      <w:b/>
      <w:sz w:val="23"/>
      <w:szCs w:val="23"/>
    </w:rPr>
  </w:style>
  <w:style w:type="paragraph" w:customStyle="1" w:styleId="URL">
    <w:name w:val="URL"/>
    <w:basedOn w:val="Normal"/>
    <w:link w:val="URLChar"/>
    <w:qFormat/>
    <w:rsid w:val="005C5F45"/>
    <w:pPr>
      <w:spacing w:before="80" w:after="80" w:line="240" w:lineRule="auto"/>
      <w:ind w:left="144"/>
    </w:pPr>
    <w:rPr>
      <w:i/>
      <w:color w:val="1F497D" w:themeColor="text2"/>
    </w:rPr>
  </w:style>
  <w:style w:type="character" w:customStyle="1" w:styleId="BulletsChar">
    <w:name w:val="Bullets Char"/>
    <w:basedOn w:val="ListParagraphChar"/>
    <w:link w:val="Bullets"/>
    <w:rsid w:val="009743CE"/>
  </w:style>
  <w:style w:type="paragraph" w:styleId="NormalWeb">
    <w:name w:val="Normal (Web)"/>
    <w:basedOn w:val="Normal"/>
    <w:uiPriority w:val="99"/>
    <w:semiHidden/>
    <w:unhideWhenUsed/>
    <w:rsid w:val="0063206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RLChar">
    <w:name w:val="URL Char"/>
    <w:basedOn w:val="DefaultParagraphFont"/>
    <w:link w:val="URL"/>
    <w:rsid w:val="005C5F45"/>
    <w:rPr>
      <w:i/>
      <w:color w:val="1F497D" w:themeColor="text2"/>
    </w:rPr>
  </w:style>
  <w:style w:type="character" w:styleId="CommentReference">
    <w:name w:val="annotation reference"/>
    <w:basedOn w:val="DefaultParagraphFont"/>
    <w:uiPriority w:val="99"/>
    <w:semiHidden/>
    <w:unhideWhenUsed/>
    <w:rsid w:val="00632064"/>
    <w:rPr>
      <w:sz w:val="16"/>
      <w:szCs w:val="16"/>
    </w:rPr>
  </w:style>
  <w:style w:type="paragraph" w:customStyle="1" w:styleId="Hands">
    <w:name w:val="Hands"/>
    <w:basedOn w:val="Bubblenote"/>
    <w:link w:val="HandsChar"/>
    <w:qFormat/>
    <w:rsid w:val="00C20235"/>
    <w:pPr>
      <w:pBdr>
        <w:top w:val="none" w:sz="0" w:space="0" w:color="auto"/>
        <w:bottom w:val="none" w:sz="0" w:space="0" w:color="auto"/>
      </w:pBdr>
      <w:spacing w:line="192" w:lineRule="auto"/>
      <w:jc w:val="left"/>
    </w:pPr>
    <w:rPr>
      <w:b w:val="0"/>
      <w:color w:val="BFBFBF" w:themeColor="background1" w:themeShade="BF"/>
      <w:sz w:val="56"/>
    </w:rPr>
  </w:style>
  <w:style w:type="character" w:customStyle="1" w:styleId="HandsChar">
    <w:name w:val="Hands Char"/>
    <w:basedOn w:val="BubblenoteChar"/>
    <w:link w:val="Hands"/>
    <w:rsid w:val="00C20235"/>
    <w:rPr>
      <w:b w:val="0"/>
      <w:color w:val="BFBFBF" w:themeColor="background1" w:themeShade="BF"/>
      <w:sz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4E335A"/>
    <w:rPr>
      <w:color w:val="666666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7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7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A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A12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80DC3"/>
    <w:rPr>
      <w:rFonts w:ascii="Arial Narrow" w:eastAsiaTheme="majorEastAsia" w:hAnsi="Arial Narrow" w:cstheme="majorBidi"/>
      <w:b/>
      <w:color w:val="1F497D" w:themeColor="accent1"/>
      <w:spacing w:val="10"/>
      <w:sz w:val="40"/>
      <w:szCs w:val="32"/>
    </w:rPr>
  </w:style>
  <w:style w:type="table" w:styleId="GridTable1Light-Accent5">
    <w:name w:val="Grid Table 1 Light Accent 5"/>
    <w:basedOn w:val="TableNormal"/>
    <w:uiPriority w:val="46"/>
    <w:rsid w:val="008A263A"/>
    <w:pPr>
      <w:spacing w:after="0" w:line="240" w:lineRule="auto"/>
    </w:pPr>
    <w:tblPr>
      <w:tblStyleRowBandSize w:val="1"/>
      <w:tblStyleColBandSize w:val="1"/>
      <w:tblBorders>
        <w:top w:val="single" w:sz="4" w:space="0" w:color="F9F9F9" w:themeColor="accent5" w:themeTint="66"/>
        <w:left w:val="single" w:sz="4" w:space="0" w:color="F9F9F9" w:themeColor="accent5" w:themeTint="66"/>
        <w:bottom w:val="single" w:sz="4" w:space="0" w:color="F9F9F9" w:themeColor="accent5" w:themeTint="66"/>
        <w:right w:val="single" w:sz="4" w:space="0" w:color="F9F9F9" w:themeColor="accent5" w:themeTint="66"/>
        <w:insideH w:val="single" w:sz="4" w:space="0" w:color="F9F9F9" w:themeColor="accent5" w:themeTint="66"/>
        <w:insideV w:val="single" w:sz="4" w:space="0" w:color="F9F9F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7F7F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F7F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line">
    <w:name w:val="Header line"/>
    <w:basedOn w:val="Header"/>
    <w:link w:val="HeaderlineChar"/>
    <w:qFormat/>
    <w:rsid w:val="007D6792"/>
    <w:pPr>
      <w:pBdr>
        <w:bottom w:val="single" w:sz="12" w:space="1" w:color="1F497D" w:themeColor="accent1"/>
      </w:pBdr>
      <w:spacing w:after="240"/>
      <w:ind w:left="8928"/>
      <w:jc w:val="center"/>
    </w:pPr>
  </w:style>
  <w:style w:type="paragraph" w:customStyle="1" w:styleId="criterionparagraph">
    <w:name w:val="criterion paragraph"/>
    <w:basedOn w:val="Normal"/>
    <w:link w:val="criterionparagraphChar"/>
    <w:qFormat/>
    <w:rsid w:val="007D6792"/>
    <w:pPr>
      <w:spacing w:before="80" w:after="120" w:line="240" w:lineRule="auto"/>
    </w:pPr>
  </w:style>
  <w:style w:type="character" w:customStyle="1" w:styleId="HeaderlineChar">
    <w:name w:val="Header line Char"/>
    <w:basedOn w:val="HeaderChar"/>
    <w:link w:val="Headerline"/>
    <w:rsid w:val="007D6792"/>
  </w:style>
  <w:style w:type="character" w:customStyle="1" w:styleId="Heading3Char">
    <w:name w:val="Heading 3 Char"/>
    <w:basedOn w:val="DefaultParagraphFont"/>
    <w:link w:val="Heading3"/>
    <w:uiPriority w:val="9"/>
    <w:rsid w:val="007D6792"/>
    <w:rPr>
      <w:rFonts w:eastAsiaTheme="majorEastAsia" w:cs="Cambria Math"/>
      <w:i/>
      <w:color w:val="0F243E" w:themeColor="accent1" w:themeShade="7F"/>
      <w:sz w:val="24"/>
      <w:szCs w:val="24"/>
    </w:rPr>
  </w:style>
  <w:style w:type="character" w:customStyle="1" w:styleId="criterionparagraphChar">
    <w:name w:val="criterion paragraph Char"/>
    <w:basedOn w:val="DefaultParagraphFont"/>
    <w:link w:val="criterionparagraph"/>
    <w:rsid w:val="007D6792"/>
  </w:style>
  <w:style w:type="character" w:styleId="IntenseEmphasis">
    <w:name w:val="Intense Emphasis"/>
    <w:basedOn w:val="DefaultParagraphFont"/>
    <w:uiPriority w:val="21"/>
    <w:qFormat/>
    <w:rsid w:val="007D6792"/>
    <w:rPr>
      <w:i/>
      <w:iCs/>
      <w:color w:val="1F497D" w:themeColor="accent1"/>
    </w:rPr>
  </w:style>
  <w:style w:type="paragraph" w:customStyle="1" w:styleId="IntroParagraph">
    <w:name w:val="Intro Paragraph"/>
    <w:basedOn w:val="Normal"/>
    <w:link w:val="IntroParagraphChar"/>
    <w:uiPriority w:val="12"/>
    <w:qFormat/>
    <w:rsid w:val="00907DB2"/>
    <w:pPr>
      <w:spacing w:before="360" w:after="480" w:line="276" w:lineRule="auto"/>
      <w:ind w:right="360"/>
    </w:pPr>
    <w:rPr>
      <w:noProof/>
      <w:color w:val="262626" w:themeColor="text1" w:themeTint="D9"/>
      <w:sz w:val="25"/>
    </w:rPr>
  </w:style>
  <w:style w:type="character" w:customStyle="1" w:styleId="IntroParagraphChar">
    <w:name w:val="Intro Paragraph Char"/>
    <w:basedOn w:val="DefaultParagraphFont"/>
    <w:link w:val="IntroParagraph"/>
    <w:uiPriority w:val="12"/>
    <w:rsid w:val="00907DB2"/>
    <w:rPr>
      <w:noProof/>
      <w:color w:val="262626" w:themeColor="text1" w:themeTint="D9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F497D"/>
      </a:accent1>
      <a:accent2>
        <a:srgbClr val="DA0034"/>
      </a:accent2>
      <a:accent3>
        <a:srgbClr val="303030"/>
      </a:accent3>
      <a:accent4>
        <a:srgbClr val="D9D9D9"/>
      </a:accent4>
      <a:accent5>
        <a:srgbClr val="F2F2F2"/>
      </a:accent5>
      <a:accent6>
        <a:srgbClr val="3A7DBD"/>
      </a:accent6>
      <a:hlink>
        <a:srgbClr val="3A7DBD"/>
      </a:hlink>
      <a:folHlink>
        <a:srgbClr val="66666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90C13B4FB4144AA9EA5D673807027" ma:contentTypeVersion="13" ma:contentTypeDescription="Create a new document." ma:contentTypeScope="" ma:versionID="3ff48821bd77d7153ba168e7b9f90f1a">
  <xsd:schema xmlns:xsd="http://www.w3.org/2001/XMLSchema" xmlns:xs="http://www.w3.org/2001/XMLSchema" xmlns:p="http://schemas.microsoft.com/office/2006/metadata/properties" xmlns:ns3="e9b09522-d221-48d0-9b7e-ee7fbc35b526" xmlns:ns4="b4587d54-9cef-49b1-a9c4-03a89c7fb8a1" targetNamespace="http://schemas.microsoft.com/office/2006/metadata/properties" ma:root="true" ma:fieldsID="f297da2e300f0f9e95a6c28e0d4ee9e5" ns3:_="" ns4:_="">
    <xsd:import namespace="e9b09522-d221-48d0-9b7e-ee7fbc35b526"/>
    <xsd:import namespace="b4587d54-9cef-49b1-a9c4-03a89c7fb8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09522-d221-48d0-9b7e-ee7fbc35b5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587d54-9cef-49b1-a9c4-03a89c7fb8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63776-C8C3-4EDB-9865-8234A075D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b09522-d221-48d0-9b7e-ee7fbc35b526"/>
    <ds:schemaRef ds:uri="b4587d54-9cef-49b1-a9c4-03a89c7fb8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5B0E95-08F1-42F0-81F3-7A3FD4A6B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26FFB7-FE18-46DE-AA0D-9D77C5922E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Robbins</dc:creator>
  <cp:keywords/>
  <dc:description/>
  <cp:lastModifiedBy>Cherie Stierwalt</cp:lastModifiedBy>
  <cp:revision>2</cp:revision>
  <cp:lastPrinted>2018-02-07T18:58:00Z</cp:lastPrinted>
  <dcterms:created xsi:type="dcterms:W3CDTF">2020-04-15T15:39:00Z</dcterms:created>
  <dcterms:modified xsi:type="dcterms:W3CDTF">2020-04-15T15:39:00Z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0x010100F3090C13B4FB4144AA9EA5D673807027</vt:lpwstr>
  </property>
</Properties>
</file>