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DA62" w14:textId="77777777" w:rsidR="006A1D2F" w:rsidRDefault="006A1D2F">
      <w:pPr>
        <w:pStyle w:val="BodyText"/>
        <w:rPr>
          <w:rFonts w:ascii="Times New Roman"/>
          <w:sz w:val="20"/>
        </w:rPr>
      </w:pPr>
    </w:p>
    <w:p w14:paraId="50ABDA63" w14:textId="77777777" w:rsidR="006A1D2F" w:rsidRDefault="006A1D2F">
      <w:pPr>
        <w:pStyle w:val="BodyText"/>
        <w:spacing w:before="3"/>
        <w:rPr>
          <w:rFonts w:ascii="Times New Roman"/>
          <w:sz w:val="23"/>
        </w:rPr>
      </w:pPr>
    </w:p>
    <w:p w14:paraId="50ABDA64" w14:textId="77777777" w:rsidR="006A1D2F" w:rsidRDefault="00C42054">
      <w:pPr>
        <w:spacing w:before="44"/>
        <w:ind w:left="3667" w:right="3685"/>
        <w:jc w:val="center"/>
        <w:rPr>
          <w:b/>
          <w:sz w:val="28"/>
        </w:rPr>
      </w:pPr>
      <w:r>
        <w:rPr>
          <w:b/>
          <w:sz w:val="28"/>
        </w:rPr>
        <w:t>Mission and Vision</w:t>
      </w:r>
    </w:p>
    <w:p w14:paraId="50ABDA65" w14:textId="7E90E302" w:rsidR="006A1D2F" w:rsidRDefault="00C42054">
      <w:pPr>
        <w:pStyle w:val="BodyText"/>
        <w:spacing w:before="186" w:line="259" w:lineRule="auto"/>
        <w:ind w:left="100" w:right="317"/>
      </w:pPr>
      <w:r>
        <w:t xml:space="preserve">The </w:t>
      </w:r>
      <w:r w:rsidR="00C25D68">
        <w:t>Green Country</w:t>
      </w:r>
      <w:r>
        <w:t xml:space="preserve"> Workforce Development Board (</w:t>
      </w:r>
      <w:r w:rsidR="00563556">
        <w:t>GC</w:t>
      </w:r>
      <w:r>
        <w:t>WDB) having developed a strategic plan for our area have established the following:</w:t>
      </w:r>
    </w:p>
    <w:p w14:paraId="50ABDA66" w14:textId="77777777" w:rsidR="006A1D2F" w:rsidRDefault="00C42054">
      <w:pPr>
        <w:pStyle w:val="Heading1"/>
        <w:numPr>
          <w:ilvl w:val="0"/>
          <w:numId w:val="1"/>
        </w:numPr>
        <w:tabs>
          <w:tab w:val="left" w:pos="819"/>
          <w:tab w:val="left" w:pos="820"/>
        </w:tabs>
        <w:spacing w:before="162"/>
      </w:pPr>
      <w:bookmarkStart w:id="0" w:name="I._Mission_Statement:"/>
      <w:bookmarkEnd w:id="0"/>
      <w:r>
        <w:t>Mission</w:t>
      </w:r>
      <w:r>
        <w:rPr>
          <w:spacing w:val="-2"/>
        </w:rPr>
        <w:t xml:space="preserve"> </w:t>
      </w:r>
      <w:r>
        <w:t>Statement:</w:t>
      </w:r>
    </w:p>
    <w:p w14:paraId="50ABDA67" w14:textId="77777777" w:rsidR="006A1D2F" w:rsidRDefault="006A1D2F">
      <w:pPr>
        <w:pStyle w:val="BodyText"/>
        <w:spacing w:before="12"/>
        <w:rPr>
          <w:b/>
          <w:sz w:val="23"/>
        </w:rPr>
      </w:pPr>
    </w:p>
    <w:p w14:paraId="50ABDA68" w14:textId="71DF2985" w:rsidR="006A1D2F" w:rsidRDefault="00563556">
      <w:pPr>
        <w:pStyle w:val="BodyText"/>
        <w:ind w:left="100" w:right="247"/>
      </w:pPr>
      <w:bookmarkStart w:id="1" w:name="Workforce_Tulsa_fuels_economic_developme"/>
      <w:bookmarkEnd w:id="1"/>
      <w:r>
        <w:t>Green Country Workforce</w:t>
      </w:r>
      <w:r w:rsidR="00C42054">
        <w:t xml:space="preserve"> fuels economic development by creating relationships that benefit employers and job seekers by placing talent today, while preparing individuals for the jobs of tomorrow.</w:t>
      </w:r>
    </w:p>
    <w:p w14:paraId="50ABDA69" w14:textId="77777777" w:rsidR="006A1D2F" w:rsidRDefault="006A1D2F">
      <w:pPr>
        <w:pStyle w:val="BodyText"/>
        <w:spacing w:before="11"/>
        <w:rPr>
          <w:sz w:val="23"/>
        </w:rPr>
      </w:pPr>
    </w:p>
    <w:p w14:paraId="50ABDA6A" w14:textId="77777777" w:rsidR="006A1D2F" w:rsidRDefault="00C42054">
      <w:pPr>
        <w:pStyle w:val="Heading1"/>
        <w:numPr>
          <w:ilvl w:val="0"/>
          <w:numId w:val="1"/>
        </w:numPr>
        <w:tabs>
          <w:tab w:val="left" w:pos="819"/>
          <w:tab w:val="left" w:pos="820"/>
        </w:tabs>
        <w:rPr>
          <w:color w:val="303030"/>
        </w:rPr>
      </w:pPr>
      <w:bookmarkStart w:id="2" w:name="II._Our_Vision:"/>
      <w:bookmarkEnd w:id="2"/>
      <w:r>
        <w:rPr>
          <w:color w:val="303030"/>
        </w:rPr>
        <w:t>Our</w:t>
      </w:r>
      <w:r>
        <w:rPr>
          <w:color w:val="303030"/>
          <w:spacing w:val="-3"/>
        </w:rPr>
        <w:t xml:space="preserve"> </w:t>
      </w:r>
      <w:r>
        <w:rPr>
          <w:color w:val="303030"/>
        </w:rPr>
        <w:t>Vision:</w:t>
      </w:r>
    </w:p>
    <w:p w14:paraId="50ABDA6B" w14:textId="77777777" w:rsidR="006A1D2F" w:rsidRDefault="006A1D2F">
      <w:pPr>
        <w:pStyle w:val="BodyText"/>
        <w:spacing w:before="12"/>
        <w:rPr>
          <w:b/>
          <w:sz w:val="26"/>
        </w:rPr>
      </w:pPr>
    </w:p>
    <w:p w14:paraId="50ABDA6C" w14:textId="55A68A10" w:rsidR="006A1D2F" w:rsidRDefault="00C42054">
      <w:pPr>
        <w:pStyle w:val="BodyText"/>
        <w:ind w:left="100" w:right="442"/>
      </w:pPr>
      <w:bookmarkStart w:id="3" w:name="Growing_economic_prosperity_for_the_Tuls"/>
      <w:bookmarkEnd w:id="3"/>
      <w:r>
        <w:rPr>
          <w:color w:val="303030"/>
        </w:rPr>
        <w:t xml:space="preserve">Growing economic prosperity for the </w:t>
      </w:r>
      <w:r w:rsidR="004F675B">
        <w:rPr>
          <w:color w:val="303030"/>
        </w:rPr>
        <w:t>Green Country W</w:t>
      </w:r>
      <w:r w:rsidR="003D5110">
        <w:rPr>
          <w:color w:val="303030"/>
        </w:rPr>
        <w:t xml:space="preserve">orkforce </w:t>
      </w:r>
      <w:r w:rsidR="004F675B">
        <w:rPr>
          <w:color w:val="303030"/>
        </w:rPr>
        <w:t>D</w:t>
      </w:r>
      <w:r w:rsidR="003D5110">
        <w:rPr>
          <w:color w:val="303030"/>
        </w:rPr>
        <w:t>evelopment</w:t>
      </w:r>
      <w:r w:rsidR="004F675B">
        <w:rPr>
          <w:color w:val="303030"/>
        </w:rPr>
        <w:t xml:space="preserve"> Area</w:t>
      </w:r>
      <w:r>
        <w:rPr>
          <w:color w:val="303030"/>
        </w:rPr>
        <w:t xml:space="preserve"> </w:t>
      </w:r>
      <w:r w:rsidR="00381559">
        <w:rPr>
          <w:color w:val="303030"/>
        </w:rPr>
        <w:t>comprised</w:t>
      </w:r>
      <w:r w:rsidR="0061764B">
        <w:rPr>
          <w:color w:val="303030"/>
        </w:rPr>
        <w:t xml:space="preserve"> </w:t>
      </w:r>
      <w:r w:rsidR="003D5110">
        <w:rPr>
          <w:color w:val="303030"/>
        </w:rPr>
        <w:t xml:space="preserve">of </w:t>
      </w:r>
      <w:r w:rsidR="0061764B">
        <w:rPr>
          <w:color w:val="303030"/>
        </w:rPr>
        <w:t>Adair, Cherokee, Creek, McIntosh, Muskogee, Okmulgee,</w:t>
      </w:r>
      <w:r w:rsidR="00040349">
        <w:rPr>
          <w:color w:val="303030"/>
        </w:rPr>
        <w:t xml:space="preserve"> Osage, Pawnee, Sequoyah, Tulsa, and Wagoner counties </w:t>
      </w:r>
      <w:r>
        <w:rPr>
          <w:color w:val="303030"/>
        </w:rPr>
        <w:t>by being the primary source that connects employers and job</w:t>
      </w:r>
      <w:r>
        <w:rPr>
          <w:color w:val="303030"/>
          <w:spacing w:val="1"/>
        </w:rPr>
        <w:t xml:space="preserve"> </w:t>
      </w:r>
      <w:r>
        <w:rPr>
          <w:color w:val="303030"/>
        </w:rPr>
        <w:t>seekers.</w:t>
      </w:r>
    </w:p>
    <w:p w14:paraId="50ABDA6D" w14:textId="77777777" w:rsidR="006A1D2F" w:rsidRDefault="006A1D2F">
      <w:pPr>
        <w:pStyle w:val="BodyText"/>
        <w:spacing w:before="1"/>
      </w:pPr>
    </w:p>
    <w:p w14:paraId="50ABDA6E" w14:textId="77777777" w:rsidR="006A1D2F" w:rsidRDefault="00C42054">
      <w:pPr>
        <w:pStyle w:val="Heading1"/>
        <w:numPr>
          <w:ilvl w:val="0"/>
          <w:numId w:val="1"/>
        </w:numPr>
        <w:tabs>
          <w:tab w:val="left" w:pos="819"/>
          <w:tab w:val="left" w:pos="820"/>
        </w:tabs>
        <w:spacing w:before="1"/>
        <w:rPr>
          <w:color w:val="303030"/>
        </w:rPr>
      </w:pPr>
      <w:bookmarkStart w:id="4" w:name="III._Overview:"/>
      <w:bookmarkEnd w:id="4"/>
      <w:r>
        <w:rPr>
          <w:color w:val="303030"/>
        </w:rPr>
        <w:t>Overview:</w:t>
      </w:r>
    </w:p>
    <w:p w14:paraId="50ABDA6F" w14:textId="77777777" w:rsidR="006A1D2F" w:rsidRDefault="006A1D2F">
      <w:pPr>
        <w:pStyle w:val="BodyText"/>
        <w:spacing w:before="9"/>
        <w:rPr>
          <w:b/>
          <w:sz w:val="25"/>
        </w:rPr>
      </w:pPr>
    </w:p>
    <w:p w14:paraId="50ABDA70" w14:textId="77777777" w:rsidR="006A1D2F" w:rsidRDefault="00C42054">
      <w:pPr>
        <w:pStyle w:val="ListParagraph"/>
        <w:numPr>
          <w:ilvl w:val="1"/>
          <w:numId w:val="1"/>
        </w:numPr>
        <w:tabs>
          <w:tab w:val="left" w:pos="1539"/>
          <w:tab w:val="left" w:pos="1540"/>
        </w:tabs>
        <w:rPr>
          <w:sz w:val="24"/>
        </w:rPr>
      </w:pPr>
      <w:r>
        <w:rPr>
          <w:color w:val="303030"/>
          <w:sz w:val="24"/>
          <w:u w:val="single" w:color="303030"/>
        </w:rPr>
        <w:t>Purpose:</w:t>
      </w:r>
    </w:p>
    <w:p w14:paraId="50ABDA71" w14:textId="77777777" w:rsidR="006A1D2F" w:rsidRDefault="006A1D2F">
      <w:pPr>
        <w:pStyle w:val="BodyText"/>
        <w:spacing w:before="11"/>
        <w:rPr>
          <w:sz w:val="19"/>
        </w:rPr>
      </w:pPr>
    </w:p>
    <w:p w14:paraId="50ABDA72" w14:textId="77777777" w:rsidR="006A1D2F" w:rsidRDefault="00C42054">
      <w:pPr>
        <w:pStyle w:val="BodyText"/>
        <w:spacing w:before="52"/>
        <w:ind w:left="819" w:right="330"/>
        <w:rPr>
          <w:rFonts w:ascii="Arial" w:hAnsi="Arial"/>
          <w:sz w:val="21"/>
        </w:rPr>
      </w:pPr>
      <w:r>
        <w:rPr>
          <w:color w:val="303030"/>
        </w:rPr>
        <w:t>The Workforce Innovation and Opportunity Act (WIOA), signed into law in 2014, is designed to strengthen and improve our nation’s public workforce system. The law focuses on helping Americans, including youth and those with significant barriers to employment, into high quality jobs and careers. WIOA, which took effect July 1, 2015, supersedes the Workforce Investment Act of 1998. As a result, Workforce Investment Boards, or WIBs, were redesigned and new Workforce Development Boards, or WDBs, were established</w:t>
      </w:r>
      <w:r>
        <w:rPr>
          <w:rFonts w:ascii="Arial" w:hAnsi="Arial"/>
          <w:color w:val="303030"/>
          <w:sz w:val="21"/>
        </w:rPr>
        <w:t>.</w:t>
      </w:r>
    </w:p>
    <w:p w14:paraId="50ABDA73" w14:textId="77777777" w:rsidR="006A1D2F" w:rsidRDefault="006A1D2F">
      <w:pPr>
        <w:pStyle w:val="BodyText"/>
        <w:spacing w:before="11"/>
        <w:rPr>
          <w:rFonts w:ascii="Arial"/>
          <w:sz w:val="20"/>
        </w:rPr>
      </w:pPr>
    </w:p>
    <w:p w14:paraId="50ABDA74" w14:textId="52D98FBF" w:rsidR="006A1D2F" w:rsidRDefault="00C42054">
      <w:pPr>
        <w:pStyle w:val="BodyText"/>
        <w:ind w:left="820" w:right="225"/>
      </w:pPr>
      <w:r>
        <w:rPr>
          <w:color w:val="303030"/>
        </w:rPr>
        <w:t xml:space="preserve">The </w:t>
      </w:r>
      <w:r w:rsidR="00DA6E88">
        <w:rPr>
          <w:color w:val="303030"/>
        </w:rPr>
        <w:t>Green Country</w:t>
      </w:r>
      <w:r>
        <w:rPr>
          <w:color w:val="303030"/>
        </w:rPr>
        <w:t xml:space="preserve"> </w:t>
      </w:r>
      <w:r w:rsidR="00F32DFC">
        <w:rPr>
          <w:color w:val="303030"/>
        </w:rPr>
        <w:t xml:space="preserve">Workforce </w:t>
      </w:r>
      <w:r>
        <w:rPr>
          <w:color w:val="303030"/>
        </w:rPr>
        <w:t>Development Board (</w:t>
      </w:r>
      <w:r w:rsidR="00DA6E88">
        <w:rPr>
          <w:color w:val="303030"/>
        </w:rPr>
        <w:t>GC</w:t>
      </w:r>
      <w:r>
        <w:rPr>
          <w:color w:val="303030"/>
        </w:rPr>
        <w:t xml:space="preserve">WDB) is a policy-making entity empowered by WIOA to educate and train local workers and support businesses. The </w:t>
      </w:r>
      <w:r w:rsidR="00DA6E88">
        <w:rPr>
          <w:color w:val="303030"/>
        </w:rPr>
        <w:t>GC</w:t>
      </w:r>
      <w:r>
        <w:rPr>
          <w:color w:val="303030"/>
        </w:rPr>
        <w:t>WDB is comprised of a majority of businesses who collaborate with leaders from various education, labor, public service, and community-based organizations. The focus of this board is to ensure that the residents of our area have the skills, training, and education to achieve their career goals, and that employers are able to hire, develop, and retain outstanding employees.</w:t>
      </w:r>
    </w:p>
    <w:p w14:paraId="50ABDA75" w14:textId="77777777" w:rsidR="006A1D2F" w:rsidRDefault="006A1D2F">
      <w:pPr>
        <w:sectPr w:rsidR="006A1D2F">
          <w:headerReference w:type="default" r:id="rId10"/>
          <w:footerReference w:type="default" r:id="rId11"/>
          <w:type w:val="continuous"/>
          <w:pgSz w:w="12240" w:h="15840"/>
          <w:pgMar w:top="1820" w:right="1320" w:bottom="2620" w:left="1340" w:header="994" w:footer="2438" w:gutter="0"/>
          <w:cols w:space="720"/>
        </w:sectPr>
      </w:pPr>
    </w:p>
    <w:p w14:paraId="50ABDA76" w14:textId="77777777" w:rsidR="006A1D2F" w:rsidRDefault="006A1D2F">
      <w:pPr>
        <w:pStyle w:val="BodyText"/>
        <w:rPr>
          <w:sz w:val="20"/>
        </w:rPr>
      </w:pPr>
    </w:p>
    <w:p w14:paraId="50ABDA77" w14:textId="77777777" w:rsidR="006A1D2F" w:rsidRDefault="006A1D2F">
      <w:pPr>
        <w:pStyle w:val="BodyText"/>
        <w:spacing w:before="2"/>
        <w:rPr>
          <w:sz w:val="20"/>
        </w:rPr>
      </w:pPr>
    </w:p>
    <w:p w14:paraId="50ABDA78" w14:textId="77777777" w:rsidR="006A1D2F" w:rsidRDefault="00C42054">
      <w:pPr>
        <w:pStyle w:val="ListParagraph"/>
        <w:numPr>
          <w:ilvl w:val="1"/>
          <w:numId w:val="1"/>
        </w:numPr>
        <w:tabs>
          <w:tab w:val="left" w:pos="1539"/>
          <w:tab w:val="left" w:pos="1540"/>
        </w:tabs>
        <w:spacing w:before="51"/>
        <w:rPr>
          <w:sz w:val="24"/>
        </w:rPr>
      </w:pPr>
      <w:r>
        <w:rPr>
          <w:color w:val="303030"/>
          <w:sz w:val="24"/>
          <w:u w:val="single" w:color="303030"/>
        </w:rPr>
        <w:t>Functions</w:t>
      </w:r>
      <w:r>
        <w:rPr>
          <w:color w:val="303030"/>
          <w:sz w:val="24"/>
        </w:rPr>
        <w:t>:</w:t>
      </w:r>
    </w:p>
    <w:p w14:paraId="50ABDA79" w14:textId="77777777" w:rsidR="006A1D2F" w:rsidRDefault="006A1D2F">
      <w:pPr>
        <w:pStyle w:val="BodyText"/>
        <w:spacing w:before="9"/>
        <w:rPr>
          <w:sz w:val="19"/>
        </w:rPr>
      </w:pPr>
    </w:p>
    <w:p w14:paraId="50ABDA7A" w14:textId="77777777" w:rsidR="006A1D2F" w:rsidRDefault="00C42054">
      <w:pPr>
        <w:pStyle w:val="BodyText"/>
        <w:spacing w:before="52"/>
        <w:ind w:left="820"/>
      </w:pPr>
      <w:r>
        <w:rPr>
          <w:color w:val="303030"/>
        </w:rPr>
        <w:t>The main functions of the board include:</w:t>
      </w:r>
    </w:p>
    <w:p w14:paraId="50ABDA7B" w14:textId="77777777" w:rsidR="006A1D2F" w:rsidRDefault="00C42054">
      <w:pPr>
        <w:pStyle w:val="ListParagraph"/>
        <w:numPr>
          <w:ilvl w:val="2"/>
          <w:numId w:val="1"/>
        </w:numPr>
        <w:tabs>
          <w:tab w:val="left" w:pos="2259"/>
          <w:tab w:val="left" w:pos="2260"/>
        </w:tabs>
        <w:ind w:right="191"/>
        <w:rPr>
          <w:sz w:val="24"/>
        </w:rPr>
      </w:pPr>
      <w:r>
        <w:rPr>
          <w:color w:val="303030"/>
          <w:sz w:val="24"/>
        </w:rPr>
        <w:t>Administration and oversight of local WIOA funding for adults, dislocated workers, and</w:t>
      </w:r>
      <w:r>
        <w:rPr>
          <w:color w:val="303030"/>
          <w:spacing w:val="-1"/>
          <w:sz w:val="24"/>
        </w:rPr>
        <w:t xml:space="preserve"> </w:t>
      </w:r>
      <w:r>
        <w:rPr>
          <w:color w:val="303030"/>
          <w:sz w:val="24"/>
        </w:rPr>
        <w:t>youth</w:t>
      </w:r>
    </w:p>
    <w:p w14:paraId="50ABDA7C" w14:textId="77777777" w:rsidR="006A1D2F" w:rsidRDefault="00C42054">
      <w:pPr>
        <w:pStyle w:val="ListParagraph"/>
        <w:numPr>
          <w:ilvl w:val="2"/>
          <w:numId w:val="1"/>
        </w:numPr>
        <w:tabs>
          <w:tab w:val="left" w:pos="2259"/>
          <w:tab w:val="left" w:pos="2260"/>
        </w:tabs>
        <w:spacing w:line="293" w:lineRule="exact"/>
        <w:rPr>
          <w:sz w:val="24"/>
        </w:rPr>
      </w:pPr>
      <w:r>
        <w:rPr>
          <w:color w:val="303030"/>
          <w:sz w:val="24"/>
        </w:rPr>
        <w:t>Support programs that build employable skills of the local area</w:t>
      </w:r>
      <w:r>
        <w:rPr>
          <w:color w:val="303030"/>
          <w:spacing w:val="-20"/>
          <w:sz w:val="24"/>
        </w:rPr>
        <w:t xml:space="preserve"> </w:t>
      </w:r>
      <w:r>
        <w:rPr>
          <w:color w:val="303030"/>
          <w:sz w:val="24"/>
        </w:rPr>
        <w:t>workforce</w:t>
      </w:r>
    </w:p>
    <w:p w14:paraId="50ABDA7D" w14:textId="77777777" w:rsidR="006A1D2F" w:rsidRDefault="00C42054">
      <w:pPr>
        <w:pStyle w:val="ListParagraph"/>
        <w:numPr>
          <w:ilvl w:val="2"/>
          <w:numId w:val="1"/>
        </w:numPr>
        <w:tabs>
          <w:tab w:val="left" w:pos="2259"/>
          <w:tab w:val="left" w:pos="2260"/>
        </w:tabs>
        <w:spacing w:line="242" w:lineRule="auto"/>
        <w:ind w:right="888"/>
        <w:rPr>
          <w:sz w:val="24"/>
        </w:rPr>
      </w:pPr>
      <w:r>
        <w:rPr>
          <w:color w:val="303030"/>
          <w:sz w:val="24"/>
        </w:rPr>
        <w:t>Create a strategic plan aligned with the Governor’s and Oklahoma Workforce Development Board’s</w:t>
      </w:r>
      <w:r>
        <w:rPr>
          <w:color w:val="303030"/>
          <w:spacing w:val="-5"/>
          <w:sz w:val="24"/>
        </w:rPr>
        <w:t xml:space="preserve"> </w:t>
      </w:r>
      <w:r>
        <w:rPr>
          <w:color w:val="303030"/>
          <w:sz w:val="24"/>
        </w:rPr>
        <w:t>objectives</w:t>
      </w:r>
    </w:p>
    <w:p w14:paraId="50ABDA7E" w14:textId="77777777" w:rsidR="006A1D2F" w:rsidRDefault="00C42054">
      <w:pPr>
        <w:pStyle w:val="ListParagraph"/>
        <w:numPr>
          <w:ilvl w:val="2"/>
          <w:numId w:val="1"/>
        </w:numPr>
        <w:tabs>
          <w:tab w:val="left" w:pos="2259"/>
          <w:tab w:val="left" w:pos="2260"/>
        </w:tabs>
        <w:ind w:right="252"/>
        <w:rPr>
          <w:sz w:val="24"/>
        </w:rPr>
      </w:pPr>
      <w:r>
        <w:rPr>
          <w:color w:val="303030"/>
          <w:sz w:val="24"/>
        </w:rPr>
        <w:t>Align WIOA services with the vision of creating a vibrant economy with a skilled</w:t>
      </w:r>
      <w:r>
        <w:rPr>
          <w:color w:val="303030"/>
          <w:spacing w:val="1"/>
          <w:sz w:val="24"/>
        </w:rPr>
        <w:t xml:space="preserve"> </w:t>
      </w:r>
      <w:r>
        <w:rPr>
          <w:color w:val="303030"/>
          <w:sz w:val="24"/>
        </w:rPr>
        <w:t>workforce</w:t>
      </w:r>
    </w:p>
    <w:p w14:paraId="50ABDA7F" w14:textId="757562E4" w:rsidR="006A1D2F" w:rsidRDefault="00C42054">
      <w:pPr>
        <w:pStyle w:val="ListParagraph"/>
        <w:numPr>
          <w:ilvl w:val="2"/>
          <w:numId w:val="1"/>
        </w:numPr>
        <w:tabs>
          <w:tab w:val="left" w:pos="2259"/>
          <w:tab w:val="left" w:pos="2260"/>
        </w:tabs>
        <w:spacing w:line="293" w:lineRule="exact"/>
        <w:rPr>
          <w:sz w:val="24"/>
        </w:rPr>
      </w:pPr>
      <w:r>
        <w:rPr>
          <w:color w:val="303030"/>
          <w:sz w:val="24"/>
        </w:rPr>
        <w:t>Operate the America’s Job Centers located within our</w:t>
      </w:r>
      <w:r>
        <w:rPr>
          <w:color w:val="303030"/>
          <w:spacing w:val="-11"/>
          <w:sz w:val="24"/>
        </w:rPr>
        <w:t xml:space="preserve"> </w:t>
      </w:r>
      <w:r w:rsidR="00124D1E">
        <w:rPr>
          <w:color w:val="303030"/>
          <w:spacing w:val="-11"/>
          <w:sz w:val="24"/>
        </w:rPr>
        <w:t xml:space="preserve">eleven county </w:t>
      </w:r>
      <w:r>
        <w:rPr>
          <w:color w:val="303030"/>
          <w:sz w:val="24"/>
        </w:rPr>
        <w:t>area</w:t>
      </w:r>
    </w:p>
    <w:p w14:paraId="50ABDA80" w14:textId="77777777" w:rsidR="006A1D2F" w:rsidRDefault="00C42054">
      <w:pPr>
        <w:pStyle w:val="ListParagraph"/>
        <w:numPr>
          <w:ilvl w:val="2"/>
          <w:numId w:val="1"/>
        </w:numPr>
        <w:tabs>
          <w:tab w:val="left" w:pos="2259"/>
          <w:tab w:val="left" w:pos="2260"/>
        </w:tabs>
        <w:ind w:right="252"/>
        <w:rPr>
          <w:sz w:val="24"/>
        </w:rPr>
      </w:pPr>
      <w:r>
        <w:rPr>
          <w:color w:val="303030"/>
          <w:sz w:val="24"/>
        </w:rPr>
        <w:t>Identify and understand the workforce needs of local businesses and job seekers</w:t>
      </w:r>
    </w:p>
    <w:p w14:paraId="50ABDA82" w14:textId="77777777" w:rsidR="006A1D2F" w:rsidRDefault="006A1D2F">
      <w:pPr>
        <w:pStyle w:val="BodyText"/>
        <w:spacing w:before="7"/>
        <w:rPr>
          <w:sz w:val="23"/>
        </w:rPr>
      </w:pPr>
    </w:p>
    <w:p w14:paraId="50ABDA83" w14:textId="77777777" w:rsidR="006A1D2F" w:rsidRDefault="00C42054">
      <w:pPr>
        <w:pStyle w:val="ListParagraph"/>
        <w:numPr>
          <w:ilvl w:val="0"/>
          <w:numId w:val="1"/>
        </w:numPr>
        <w:tabs>
          <w:tab w:val="left" w:pos="819"/>
          <w:tab w:val="left" w:pos="820"/>
        </w:tabs>
        <w:rPr>
          <w:sz w:val="24"/>
        </w:rPr>
      </w:pPr>
      <w:r>
        <w:rPr>
          <w:sz w:val="24"/>
          <w:u w:val="single"/>
        </w:rPr>
        <w:t>Action</w:t>
      </w:r>
    </w:p>
    <w:p w14:paraId="50ABDA84" w14:textId="615641AE" w:rsidR="006A1D2F" w:rsidRDefault="00C42054">
      <w:pPr>
        <w:pStyle w:val="BodyText"/>
        <w:spacing w:before="185" w:line="259" w:lineRule="auto"/>
        <w:ind w:left="100" w:right="302"/>
      </w:pPr>
      <w:r>
        <w:t xml:space="preserve">The Executive Director is responsible for compliance with this policy. The Executive Director is responsible for annual review and revisions if needed. Any exceptions to this policy statement will require prior written approval from the </w:t>
      </w:r>
      <w:r w:rsidR="00DA6E88">
        <w:t xml:space="preserve">Executive Director or </w:t>
      </w:r>
      <w:r>
        <w:t xml:space="preserve">chair of the </w:t>
      </w:r>
      <w:r w:rsidR="00DA6E88">
        <w:t>Green Country</w:t>
      </w:r>
      <w:r>
        <w:t xml:space="preserve"> Area Workforce Development Board.</w:t>
      </w:r>
    </w:p>
    <w:p w14:paraId="50ABDA85" w14:textId="6328B181" w:rsidR="006A1D2F" w:rsidRDefault="00C42054">
      <w:pPr>
        <w:pStyle w:val="BodyText"/>
        <w:spacing w:before="158"/>
        <w:ind w:left="100"/>
      </w:pPr>
      <w:r>
        <w:t xml:space="preserve">This policy will be effective immediately upon approval of the </w:t>
      </w:r>
      <w:r w:rsidR="0079598E">
        <w:t>GC</w:t>
      </w:r>
      <w:r>
        <w:t>WDB membership.</w:t>
      </w:r>
    </w:p>
    <w:p w14:paraId="50ABDA86" w14:textId="77777777" w:rsidR="006A1D2F" w:rsidRDefault="006A1D2F">
      <w:pPr>
        <w:pStyle w:val="BodyText"/>
        <w:rPr>
          <w:sz w:val="20"/>
        </w:rPr>
      </w:pPr>
    </w:p>
    <w:p w14:paraId="50ABDA87" w14:textId="77777777" w:rsidR="006A1D2F" w:rsidRDefault="006A1D2F">
      <w:pPr>
        <w:pStyle w:val="BodyText"/>
        <w:rPr>
          <w:sz w:val="20"/>
        </w:rPr>
      </w:pPr>
    </w:p>
    <w:p w14:paraId="50ABDA88" w14:textId="77777777" w:rsidR="006A1D2F" w:rsidRDefault="006A1D2F">
      <w:pPr>
        <w:pStyle w:val="BodyText"/>
        <w:rPr>
          <w:sz w:val="20"/>
        </w:rPr>
      </w:pPr>
    </w:p>
    <w:p w14:paraId="50ABDA89" w14:textId="77777777" w:rsidR="006A1D2F" w:rsidRDefault="006A1D2F">
      <w:pPr>
        <w:pStyle w:val="BodyText"/>
        <w:rPr>
          <w:sz w:val="20"/>
        </w:rPr>
      </w:pPr>
    </w:p>
    <w:p w14:paraId="50ABDA8A" w14:textId="77777777" w:rsidR="006A1D2F" w:rsidRDefault="006A1D2F">
      <w:pPr>
        <w:pStyle w:val="BodyText"/>
        <w:rPr>
          <w:sz w:val="20"/>
        </w:rPr>
      </w:pPr>
    </w:p>
    <w:p w14:paraId="50ABDA8B" w14:textId="77777777" w:rsidR="006A1D2F" w:rsidRDefault="006A1D2F">
      <w:pPr>
        <w:pStyle w:val="BodyText"/>
        <w:rPr>
          <w:sz w:val="20"/>
        </w:rPr>
      </w:pPr>
    </w:p>
    <w:p w14:paraId="50ABDA8C" w14:textId="77777777" w:rsidR="006A1D2F" w:rsidRDefault="006A1D2F">
      <w:pPr>
        <w:pStyle w:val="BodyText"/>
        <w:rPr>
          <w:sz w:val="20"/>
        </w:rPr>
      </w:pPr>
    </w:p>
    <w:p w14:paraId="50ABDA8D" w14:textId="342B8493" w:rsidR="006A1D2F" w:rsidRDefault="006A1D2F">
      <w:pPr>
        <w:pStyle w:val="BodyText"/>
        <w:rPr>
          <w:sz w:val="20"/>
        </w:rPr>
      </w:pPr>
    </w:p>
    <w:p w14:paraId="0489DADD" w14:textId="3CEC5505" w:rsidR="00124D1E" w:rsidRDefault="00124D1E">
      <w:pPr>
        <w:pStyle w:val="BodyText"/>
        <w:rPr>
          <w:sz w:val="20"/>
        </w:rPr>
      </w:pPr>
    </w:p>
    <w:p w14:paraId="518670FD" w14:textId="2DA98163" w:rsidR="00124D1E" w:rsidRDefault="00124D1E">
      <w:pPr>
        <w:pStyle w:val="BodyText"/>
        <w:rPr>
          <w:sz w:val="20"/>
        </w:rPr>
      </w:pPr>
    </w:p>
    <w:p w14:paraId="5AD586E2" w14:textId="4CA476B9" w:rsidR="00124D1E" w:rsidRDefault="00124D1E">
      <w:pPr>
        <w:pStyle w:val="BodyText"/>
        <w:rPr>
          <w:sz w:val="20"/>
        </w:rPr>
      </w:pPr>
    </w:p>
    <w:p w14:paraId="5C6B8341" w14:textId="77777777" w:rsidR="00124D1E" w:rsidRDefault="00124D1E">
      <w:pPr>
        <w:pStyle w:val="BodyText"/>
        <w:rPr>
          <w:sz w:val="20"/>
        </w:rPr>
      </w:pPr>
    </w:p>
    <w:p w14:paraId="50ABDA8E" w14:textId="77777777" w:rsidR="006A1D2F" w:rsidRDefault="006A1D2F">
      <w:pPr>
        <w:pStyle w:val="BodyText"/>
        <w:rPr>
          <w:sz w:val="20"/>
        </w:rPr>
      </w:pPr>
    </w:p>
    <w:p w14:paraId="50ABDA8F" w14:textId="77777777" w:rsidR="006A1D2F" w:rsidRDefault="006A1D2F">
      <w:pPr>
        <w:pStyle w:val="BodyText"/>
        <w:rPr>
          <w:sz w:val="20"/>
        </w:rPr>
      </w:pPr>
    </w:p>
    <w:p w14:paraId="50ABDA90" w14:textId="495F7FC2" w:rsidR="006A1D2F" w:rsidRDefault="003E5035">
      <w:pPr>
        <w:pStyle w:val="BodyText"/>
        <w:rPr>
          <w:sz w:val="20"/>
        </w:rPr>
      </w:pPr>
      <w:r>
        <w:rPr>
          <w:sz w:val="20"/>
        </w:rPr>
        <w:tab/>
      </w:r>
      <w:r>
        <w:rPr>
          <w:sz w:val="20"/>
        </w:rPr>
        <w:tab/>
      </w:r>
      <w:r>
        <w:rPr>
          <w:sz w:val="20"/>
        </w:rPr>
        <w:tab/>
      </w:r>
      <w:r>
        <w:rPr>
          <w:sz w:val="20"/>
        </w:rPr>
        <w:tab/>
        <w:t>_______________________________________________________________</w:t>
      </w:r>
    </w:p>
    <w:p w14:paraId="6FB50F3D" w14:textId="4A48D0E6" w:rsidR="006B0891" w:rsidRPr="006B0891" w:rsidRDefault="006B0891">
      <w:pPr>
        <w:pStyle w:val="BodyText"/>
      </w:pPr>
      <w:r>
        <w:rPr>
          <w:sz w:val="20"/>
        </w:rPr>
        <w:tab/>
      </w:r>
      <w:r>
        <w:rPr>
          <w:sz w:val="20"/>
        </w:rPr>
        <w:tab/>
      </w:r>
      <w:r>
        <w:rPr>
          <w:sz w:val="20"/>
        </w:rPr>
        <w:tab/>
      </w:r>
      <w:r>
        <w:rPr>
          <w:sz w:val="20"/>
        </w:rPr>
        <w:tab/>
        <w:t xml:space="preserve">          </w:t>
      </w:r>
      <w:r w:rsidRPr="006B0891">
        <w:t>Chair, Green Country Workforce Development Board / Date</w:t>
      </w:r>
    </w:p>
    <w:p w14:paraId="50ABDA91" w14:textId="77777777" w:rsidR="006A1D2F" w:rsidRPr="006B0891" w:rsidRDefault="006A1D2F">
      <w:pPr>
        <w:pStyle w:val="BodyText"/>
      </w:pPr>
    </w:p>
    <w:p w14:paraId="50ABDA92" w14:textId="77777777" w:rsidR="006A1D2F" w:rsidRDefault="006A1D2F">
      <w:pPr>
        <w:pStyle w:val="BodyText"/>
        <w:rPr>
          <w:sz w:val="20"/>
        </w:rPr>
      </w:pPr>
    </w:p>
    <w:p w14:paraId="50ABDA93" w14:textId="575BDBFC" w:rsidR="006A1D2F" w:rsidRDefault="006A1D2F">
      <w:pPr>
        <w:pStyle w:val="BodyText"/>
        <w:spacing w:before="11"/>
        <w:rPr>
          <w:sz w:val="12"/>
        </w:rPr>
      </w:pPr>
    </w:p>
    <w:sectPr w:rsidR="006A1D2F">
      <w:pgSz w:w="12240" w:h="15840"/>
      <w:pgMar w:top="1820" w:right="1320" w:bottom="2620" w:left="1340" w:header="994" w:footer="2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9BFF" w14:textId="77777777" w:rsidR="004B66B0" w:rsidRDefault="004B66B0">
      <w:r>
        <w:separator/>
      </w:r>
    </w:p>
  </w:endnote>
  <w:endnote w:type="continuationSeparator" w:id="0">
    <w:p w14:paraId="26A60DF0" w14:textId="77777777" w:rsidR="004B66B0" w:rsidRDefault="004B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A98" w14:textId="77777777" w:rsidR="006A1D2F" w:rsidRDefault="00C42054">
    <w:pPr>
      <w:pStyle w:val="BodyText"/>
      <w:spacing w:line="14" w:lineRule="auto"/>
      <w:rPr>
        <w:sz w:val="20"/>
      </w:rPr>
    </w:pPr>
    <w:r>
      <w:rPr>
        <w:noProof/>
      </w:rPr>
      <w:drawing>
        <wp:anchor distT="0" distB="0" distL="0" distR="0" simplePos="0" relativeHeight="268431407" behindDoc="1" locked="0" layoutInCell="1" allowOverlap="1" wp14:anchorId="50ABDA9A" wp14:editId="50ABDA9B">
          <wp:simplePos x="0" y="0"/>
          <wp:positionH relativeFrom="page">
            <wp:posOffset>2750820</wp:posOffset>
          </wp:positionH>
          <wp:positionV relativeFrom="page">
            <wp:posOffset>9107741</wp:posOffset>
          </wp:positionV>
          <wp:extent cx="2270746" cy="1520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70746" cy="152082"/>
                  </a:xfrm>
                  <a:prstGeom prst="rect">
                    <a:avLst/>
                  </a:prstGeom>
                </pic:spPr>
              </pic:pic>
            </a:graphicData>
          </a:graphic>
        </wp:anchor>
      </w:drawing>
    </w:r>
    <w:r w:rsidR="00466542">
      <w:pict w14:anchorId="50ABDA9C">
        <v:shapetype id="_x0000_t202" coordsize="21600,21600" o:spt="202" path="m,l,21600r21600,l21600,xe">
          <v:stroke joinstyle="miter"/>
          <v:path gradientshapeok="t" o:connecttype="rect"/>
        </v:shapetype>
        <v:shape id="_x0000_s2049" type="#_x0000_t202" style="position:absolute;margin-left:71pt;margin-top:659.1pt;width:469.95pt;height:49.05pt;z-index:-4024;mso-position-horizontal-relative:page;mso-position-vertical-relative:page" filled="f" stroked="f">
          <v:textbox inset="0,0,0,0">
            <w:txbxContent>
              <w:p w14:paraId="50ABDAA6" w14:textId="77777777" w:rsidR="006A1D2F" w:rsidRDefault="00C42054">
                <w:pPr>
                  <w:spacing w:line="183" w:lineRule="exact"/>
                  <w:ind w:left="20"/>
                  <w:rPr>
                    <w:sz w:val="16"/>
                  </w:rPr>
                </w:pPr>
                <w:r>
                  <w:rPr>
                    <w:sz w:val="16"/>
                  </w:rPr>
                  <w:t>EQUAL OPPORTUNITY AND NONDISCRIMINATION: All providers must comply with WIOA’s Equal Opportunity and Nondiscrimination provisions</w:t>
                </w:r>
              </w:p>
              <w:p w14:paraId="50ABDAA7" w14:textId="77777777" w:rsidR="006A1D2F" w:rsidRDefault="00C42054">
                <w:pPr>
                  <w:ind w:left="20" w:right="18"/>
                  <w:jc w:val="both"/>
                  <w:rPr>
                    <w:sz w:val="16"/>
                  </w:rPr>
                </w:pPr>
                <w:r>
                  <w:rPr>
                    <w:sz w:val="16"/>
                  </w:rPr>
                  <w:t>which</w:t>
                </w:r>
                <w:r>
                  <w:rPr>
                    <w:spacing w:val="-11"/>
                    <w:sz w:val="16"/>
                  </w:rPr>
                  <w:t xml:space="preserve"> </w:t>
                </w:r>
                <w:r>
                  <w:rPr>
                    <w:sz w:val="16"/>
                  </w:rPr>
                  <w:t>prohibit</w:t>
                </w:r>
                <w:r>
                  <w:rPr>
                    <w:spacing w:val="-12"/>
                    <w:sz w:val="16"/>
                  </w:rPr>
                  <w:t xml:space="preserve"> </w:t>
                </w:r>
                <w:r>
                  <w:rPr>
                    <w:sz w:val="16"/>
                  </w:rPr>
                  <w:t>discrimination</w:t>
                </w:r>
                <w:r>
                  <w:rPr>
                    <w:spacing w:val="-11"/>
                    <w:sz w:val="16"/>
                  </w:rPr>
                  <w:t xml:space="preserve"> </w:t>
                </w:r>
                <w:r>
                  <w:rPr>
                    <w:sz w:val="16"/>
                  </w:rPr>
                  <w:t>on</w:t>
                </w:r>
                <w:r>
                  <w:rPr>
                    <w:spacing w:val="-10"/>
                    <w:sz w:val="16"/>
                  </w:rPr>
                  <w:t xml:space="preserve"> </w:t>
                </w:r>
                <w:r>
                  <w:rPr>
                    <w:sz w:val="16"/>
                  </w:rPr>
                  <w:t>the</w:t>
                </w:r>
                <w:r>
                  <w:rPr>
                    <w:spacing w:val="-12"/>
                    <w:sz w:val="16"/>
                  </w:rPr>
                  <w:t xml:space="preserve"> </w:t>
                </w:r>
                <w:r>
                  <w:rPr>
                    <w:sz w:val="16"/>
                  </w:rPr>
                  <w:t>basis</w:t>
                </w:r>
                <w:r>
                  <w:rPr>
                    <w:spacing w:val="-11"/>
                    <w:sz w:val="16"/>
                  </w:rPr>
                  <w:t xml:space="preserve"> </w:t>
                </w:r>
                <w:r>
                  <w:rPr>
                    <w:sz w:val="16"/>
                  </w:rPr>
                  <w:t>of</w:t>
                </w:r>
                <w:r>
                  <w:rPr>
                    <w:spacing w:val="-11"/>
                    <w:sz w:val="16"/>
                  </w:rPr>
                  <w:t xml:space="preserve"> </w:t>
                </w:r>
                <w:r>
                  <w:rPr>
                    <w:sz w:val="16"/>
                  </w:rPr>
                  <w:t>race,</w:t>
                </w:r>
                <w:r>
                  <w:rPr>
                    <w:spacing w:val="-10"/>
                    <w:sz w:val="16"/>
                  </w:rPr>
                  <w:t xml:space="preserve"> </w:t>
                </w:r>
                <w:r>
                  <w:rPr>
                    <w:sz w:val="16"/>
                  </w:rPr>
                  <w:t>color,</w:t>
                </w:r>
                <w:r>
                  <w:rPr>
                    <w:spacing w:val="-10"/>
                    <w:sz w:val="16"/>
                  </w:rPr>
                  <w:t xml:space="preserve"> </w:t>
                </w:r>
                <w:r>
                  <w:rPr>
                    <w:sz w:val="16"/>
                  </w:rPr>
                  <w:t>religion,</w:t>
                </w:r>
                <w:r>
                  <w:rPr>
                    <w:spacing w:val="-10"/>
                    <w:sz w:val="16"/>
                  </w:rPr>
                  <w:t xml:space="preserve"> </w:t>
                </w:r>
                <w:r>
                  <w:rPr>
                    <w:sz w:val="16"/>
                  </w:rPr>
                  <w:t>sex</w:t>
                </w:r>
                <w:r>
                  <w:rPr>
                    <w:spacing w:val="-11"/>
                    <w:sz w:val="16"/>
                  </w:rPr>
                  <w:t xml:space="preserve"> </w:t>
                </w:r>
                <w:r>
                  <w:rPr>
                    <w:sz w:val="16"/>
                  </w:rPr>
                  <w:t>(including</w:t>
                </w:r>
                <w:r>
                  <w:rPr>
                    <w:spacing w:val="-10"/>
                    <w:sz w:val="16"/>
                  </w:rPr>
                  <w:t xml:space="preserve"> </w:t>
                </w:r>
                <w:r>
                  <w:rPr>
                    <w:sz w:val="16"/>
                  </w:rPr>
                  <w:t>pregnancy,</w:t>
                </w:r>
                <w:r>
                  <w:rPr>
                    <w:spacing w:val="-9"/>
                    <w:sz w:val="16"/>
                  </w:rPr>
                  <w:t xml:space="preserve"> </w:t>
                </w:r>
                <w:r>
                  <w:rPr>
                    <w:sz w:val="16"/>
                  </w:rPr>
                  <w:t>childbirth,</w:t>
                </w:r>
                <w:r>
                  <w:rPr>
                    <w:spacing w:val="-10"/>
                    <w:sz w:val="16"/>
                  </w:rPr>
                  <w:t xml:space="preserve"> </w:t>
                </w:r>
                <w:r>
                  <w:rPr>
                    <w:sz w:val="16"/>
                  </w:rPr>
                  <w:t>and</w:t>
                </w:r>
                <w:r>
                  <w:rPr>
                    <w:spacing w:val="-11"/>
                    <w:sz w:val="16"/>
                  </w:rPr>
                  <w:t xml:space="preserve"> </w:t>
                </w:r>
                <w:r>
                  <w:rPr>
                    <w:sz w:val="16"/>
                  </w:rPr>
                  <w:t>related</w:t>
                </w:r>
                <w:r>
                  <w:rPr>
                    <w:spacing w:val="-11"/>
                    <w:sz w:val="16"/>
                  </w:rPr>
                  <w:t xml:space="preserve"> </w:t>
                </w:r>
                <w:r>
                  <w:rPr>
                    <w:sz w:val="16"/>
                  </w:rPr>
                  <w:t>medical</w:t>
                </w:r>
                <w:r>
                  <w:rPr>
                    <w:spacing w:val="-11"/>
                    <w:sz w:val="16"/>
                  </w:rPr>
                  <w:t xml:space="preserve"> </w:t>
                </w:r>
                <w:r>
                  <w:rPr>
                    <w:sz w:val="16"/>
                  </w:rPr>
                  <w:t>conditions,</w:t>
                </w:r>
                <w:r>
                  <w:rPr>
                    <w:spacing w:val="-10"/>
                    <w:sz w:val="16"/>
                  </w:rPr>
                  <w:t xml:space="preserve"> </w:t>
                </w:r>
                <w:r>
                  <w:rPr>
                    <w:sz w:val="16"/>
                  </w:rPr>
                  <w:t>transgender status,</w:t>
                </w:r>
                <w:r>
                  <w:rPr>
                    <w:spacing w:val="-8"/>
                    <w:sz w:val="16"/>
                  </w:rPr>
                  <w:t xml:space="preserve"> </w:t>
                </w:r>
                <w:r>
                  <w:rPr>
                    <w:sz w:val="16"/>
                  </w:rPr>
                  <w:t>and</w:t>
                </w:r>
                <w:r>
                  <w:rPr>
                    <w:spacing w:val="-8"/>
                    <w:sz w:val="16"/>
                  </w:rPr>
                  <w:t xml:space="preserve"> </w:t>
                </w:r>
                <w:r>
                  <w:rPr>
                    <w:sz w:val="16"/>
                  </w:rPr>
                  <w:t>gender</w:t>
                </w:r>
                <w:r>
                  <w:rPr>
                    <w:spacing w:val="-9"/>
                    <w:sz w:val="16"/>
                  </w:rPr>
                  <w:t xml:space="preserve"> </w:t>
                </w:r>
                <w:r>
                  <w:rPr>
                    <w:sz w:val="16"/>
                  </w:rPr>
                  <w:t>identity),</w:t>
                </w:r>
                <w:r>
                  <w:rPr>
                    <w:spacing w:val="-7"/>
                    <w:sz w:val="16"/>
                  </w:rPr>
                  <w:t xml:space="preserve"> </w:t>
                </w:r>
                <w:r>
                  <w:rPr>
                    <w:sz w:val="16"/>
                  </w:rPr>
                  <w:t>national</w:t>
                </w:r>
                <w:r>
                  <w:rPr>
                    <w:spacing w:val="-7"/>
                    <w:sz w:val="16"/>
                  </w:rPr>
                  <w:t xml:space="preserve"> </w:t>
                </w:r>
                <w:r>
                  <w:rPr>
                    <w:sz w:val="16"/>
                  </w:rPr>
                  <w:t>origin</w:t>
                </w:r>
                <w:r>
                  <w:rPr>
                    <w:spacing w:val="-9"/>
                    <w:sz w:val="16"/>
                  </w:rPr>
                  <w:t xml:space="preserve"> </w:t>
                </w:r>
                <w:r>
                  <w:rPr>
                    <w:sz w:val="16"/>
                  </w:rPr>
                  <w:t>(including</w:t>
                </w:r>
                <w:r>
                  <w:rPr>
                    <w:spacing w:val="-6"/>
                    <w:sz w:val="16"/>
                  </w:rPr>
                  <w:t xml:space="preserve"> </w:t>
                </w:r>
                <w:r>
                  <w:rPr>
                    <w:sz w:val="16"/>
                  </w:rPr>
                  <w:t>limited</w:t>
                </w:r>
                <w:r>
                  <w:rPr>
                    <w:spacing w:val="-9"/>
                    <w:sz w:val="16"/>
                  </w:rPr>
                  <w:t xml:space="preserve"> </w:t>
                </w:r>
                <w:r>
                  <w:rPr>
                    <w:sz w:val="16"/>
                  </w:rPr>
                  <w:t>English</w:t>
                </w:r>
                <w:r>
                  <w:rPr>
                    <w:spacing w:val="-8"/>
                    <w:sz w:val="16"/>
                  </w:rPr>
                  <w:t xml:space="preserve"> </w:t>
                </w:r>
                <w:r>
                  <w:rPr>
                    <w:sz w:val="16"/>
                  </w:rPr>
                  <w:t>proficiency),</w:t>
                </w:r>
                <w:r>
                  <w:rPr>
                    <w:spacing w:val="-8"/>
                    <w:sz w:val="16"/>
                  </w:rPr>
                  <w:t xml:space="preserve"> </w:t>
                </w:r>
                <w:r>
                  <w:rPr>
                    <w:sz w:val="16"/>
                  </w:rPr>
                  <w:t>age,</w:t>
                </w:r>
                <w:r>
                  <w:rPr>
                    <w:spacing w:val="-7"/>
                    <w:sz w:val="16"/>
                  </w:rPr>
                  <w:t xml:space="preserve"> </w:t>
                </w:r>
                <w:r>
                  <w:rPr>
                    <w:sz w:val="16"/>
                  </w:rPr>
                  <w:t>disability,</w:t>
                </w:r>
                <w:r>
                  <w:rPr>
                    <w:spacing w:val="-8"/>
                    <w:sz w:val="16"/>
                  </w:rPr>
                  <w:t xml:space="preserve"> </w:t>
                </w:r>
                <w:r>
                  <w:rPr>
                    <w:sz w:val="16"/>
                  </w:rPr>
                  <w:t>political</w:t>
                </w:r>
                <w:r>
                  <w:rPr>
                    <w:spacing w:val="-8"/>
                    <w:sz w:val="16"/>
                  </w:rPr>
                  <w:t xml:space="preserve"> </w:t>
                </w:r>
                <w:r>
                  <w:rPr>
                    <w:sz w:val="16"/>
                  </w:rPr>
                  <w:t>affiliation</w:t>
                </w:r>
                <w:r>
                  <w:rPr>
                    <w:spacing w:val="-6"/>
                    <w:sz w:val="16"/>
                  </w:rPr>
                  <w:t xml:space="preserve"> </w:t>
                </w:r>
                <w:r>
                  <w:rPr>
                    <w:sz w:val="16"/>
                  </w:rPr>
                  <w:t>or</w:t>
                </w:r>
                <w:r>
                  <w:rPr>
                    <w:spacing w:val="-8"/>
                    <w:sz w:val="16"/>
                  </w:rPr>
                  <w:t xml:space="preserve"> </w:t>
                </w:r>
                <w:r>
                  <w:rPr>
                    <w:sz w:val="16"/>
                  </w:rPr>
                  <w:t>belief,</w:t>
                </w:r>
                <w:r>
                  <w:rPr>
                    <w:spacing w:val="-8"/>
                    <w:sz w:val="16"/>
                  </w:rPr>
                  <w:t xml:space="preserve"> </w:t>
                </w:r>
                <w:r>
                  <w:rPr>
                    <w:sz w:val="16"/>
                  </w:rPr>
                  <w:t>or,</w:t>
                </w:r>
                <w:r>
                  <w:rPr>
                    <w:spacing w:val="-7"/>
                    <w:sz w:val="16"/>
                  </w:rPr>
                  <w:t xml:space="preserve"> </w:t>
                </w:r>
                <w:r>
                  <w:rPr>
                    <w:sz w:val="16"/>
                  </w:rPr>
                  <w:t>for</w:t>
                </w:r>
                <w:r>
                  <w:rPr>
                    <w:spacing w:val="-9"/>
                    <w:sz w:val="16"/>
                  </w:rPr>
                  <w:t xml:space="preserve"> </w:t>
                </w:r>
                <w:r>
                  <w:rPr>
                    <w:sz w:val="16"/>
                  </w:rPr>
                  <w:t>beneficiaries, applicants, and participants only, on the basis of citizenship status or participation in a WIOA Title-I financially assisted program or activity. Auxiliary aids and services are available upon request to individuals with</w:t>
                </w:r>
                <w:r>
                  <w:rPr>
                    <w:spacing w:val="-12"/>
                    <w:sz w:val="16"/>
                  </w:rPr>
                  <w:t xml:space="preserve"> </w:t>
                </w:r>
                <w:r>
                  <w:rPr>
                    <w:sz w:val="16"/>
                  </w:rPr>
                  <w:t>disabilities.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103A" w14:textId="77777777" w:rsidR="004B66B0" w:rsidRDefault="004B66B0">
      <w:r>
        <w:separator/>
      </w:r>
    </w:p>
  </w:footnote>
  <w:footnote w:type="continuationSeparator" w:id="0">
    <w:p w14:paraId="761F0BCD" w14:textId="77777777" w:rsidR="004B66B0" w:rsidRDefault="004B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DA97" w14:textId="1DE812B9" w:rsidR="006A1D2F" w:rsidRDefault="00466542">
    <w:pPr>
      <w:pStyle w:val="BodyText"/>
      <w:spacing w:line="14" w:lineRule="auto"/>
      <w:rPr>
        <w:sz w:val="20"/>
      </w:rPr>
    </w:pPr>
    <w:r>
      <w:pict w14:anchorId="50ABDA99">
        <v:shapetype id="_x0000_t202" coordsize="21600,21600" o:spt="202" path="m,l,21600r21600,l21600,xe">
          <v:stroke joinstyle="miter"/>
          <v:path gradientshapeok="t" o:connecttype="rect"/>
        </v:shapetype>
        <v:shape id="_x0000_s2050" type="#_x0000_t202" style="position:absolute;margin-left:1in;margin-top:49.45pt;width:468.25pt;height:42.25pt;z-index:102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197"/>
                  <w:gridCol w:w="3117"/>
                </w:tblGrid>
                <w:tr w:rsidR="006A1D2F" w14:paraId="50ABDAA0" w14:textId="77777777">
                  <w:trPr>
                    <w:trHeight w:val="268"/>
                  </w:trPr>
                  <w:tc>
                    <w:tcPr>
                      <w:tcW w:w="5035" w:type="dxa"/>
                    </w:tcPr>
                    <w:p w14:paraId="50ABDA9D" w14:textId="77777777" w:rsidR="006A1D2F" w:rsidRDefault="00C42054">
                      <w:pPr>
                        <w:pStyle w:val="TableParagraph"/>
                        <w:rPr>
                          <w:b/>
                        </w:rPr>
                      </w:pPr>
                      <w:r>
                        <w:rPr>
                          <w:b/>
                        </w:rPr>
                        <w:t>Section-01 Organization and Administration</w:t>
                      </w:r>
                    </w:p>
                  </w:tc>
                  <w:tc>
                    <w:tcPr>
                      <w:tcW w:w="1197" w:type="dxa"/>
                    </w:tcPr>
                    <w:p w14:paraId="50ABDA9E" w14:textId="77777777" w:rsidR="006A1D2F" w:rsidRDefault="00C42054">
                      <w:pPr>
                        <w:pStyle w:val="TableParagraph"/>
                        <w:rPr>
                          <w:b/>
                        </w:rPr>
                      </w:pPr>
                      <w:r>
                        <w:rPr>
                          <w:b/>
                        </w:rPr>
                        <w:t>P-0100100</w:t>
                      </w:r>
                    </w:p>
                  </w:tc>
                  <w:tc>
                    <w:tcPr>
                      <w:tcW w:w="3117" w:type="dxa"/>
                    </w:tcPr>
                    <w:p w14:paraId="50ABDA9F" w14:textId="6A4B710E" w:rsidR="006A1D2F" w:rsidRDefault="00C42054">
                      <w:pPr>
                        <w:pStyle w:val="TableParagraph"/>
                        <w:ind w:left="108"/>
                        <w:rPr>
                          <w:b/>
                        </w:rPr>
                      </w:pPr>
                      <w:r>
                        <w:rPr>
                          <w:b/>
                        </w:rPr>
                        <w:t>Effective Date: 0</w:t>
                      </w:r>
                      <w:r w:rsidR="007B7022">
                        <w:rPr>
                          <w:b/>
                        </w:rPr>
                        <w:t>3</w:t>
                      </w:r>
                      <w:r>
                        <w:rPr>
                          <w:b/>
                        </w:rPr>
                        <w:t>/</w:t>
                      </w:r>
                      <w:r w:rsidR="00C25D68">
                        <w:rPr>
                          <w:b/>
                        </w:rPr>
                        <w:t>0</w:t>
                      </w:r>
                      <w:r w:rsidR="007B7022">
                        <w:rPr>
                          <w:b/>
                        </w:rPr>
                        <w:t>1</w:t>
                      </w:r>
                      <w:r>
                        <w:rPr>
                          <w:b/>
                        </w:rPr>
                        <w:t>/202</w:t>
                      </w:r>
                      <w:r w:rsidR="00C25D68">
                        <w:rPr>
                          <w:b/>
                        </w:rPr>
                        <w:t>1</w:t>
                      </w:r>
                    </w:p>
                  </w:tc>
                </w:tr>
                <w:tr w:rsidR="006A1D2F" w14:paraId="50ABDAA2" w14:textId="77777777">
                  <w:trPr>
                    <w:trHeight w:val="268"/>
                  </w:trPr>
                  <w:tc>
                    <w:tcPr>
                      <w:tcW w:w="9349" w:type="dxa"/>
                      <w:gridSpan w:val="3"/>
                    </w:tcPr>
                    <w:p w14:paraId="50ABDAA1" w14:textId="77777777" w:rsidR="006A1D2F" w:rsidRDefault="00C42054">
                      <w:pPr>
                        <w:pStyle w:val="TableParagraph"/>
                        <w:rPr>
                          <w:b/>
                        </w:rPr>
                      </w:pPr>
                      <w:r>
                        <w:rPr>
                          <w:b/>
                        </w:rPr>
                        <w:t>Mission and Vision</w:t>
                      </w:r>
                    </w:p>
                  </w:tc>
                </w:tr>
                <w:tr w:rsidR="006A1D2F" w14:paraId="50ABDAA4" w14:textId="77777777">
                  <w:trPr>
                    <w:trHeight w:val="268"/>
                  </w:trPr>
                  <w:tc>
                    <w:tcPr>
                      <w:tcW w:w="9349" w:type="dxa"/>
                      <w:gridSpan w:val="3"/>
                    </w:tcPr>
                    <w:p w14:paraId="50ABDAA3" w14:textId="756691CF" w:rsidR="006A1D2F" w:rsidRDefault="00C25D68">
                      <w:pPr>
                        <w:pStyle w:val="TableParagraph"/>
                        <w:rPr>
                          <w:b/>
                        </w:rPr>
                      </w:pPr>
                      <w:r>
                        <w:rPr>
                          <w:b/>
                        </w:rPr>
                        <w:t xml:space="preserve"> </w:t>
                      </w:r>
                      <w:r w:rsidR="007E5B2D">
                        <w:rPr>
                          <w:b/>
                        </w:rPr>
                        <w:t>Delaney Rea</w:t>
                      </w:r>
                      <w:r w:rsidR="00C42054">
                        <w:rPr>
                          <w:b/>
                        </w:rPr>
                        <w:t xml:space="preserve">, </w:t>
                      </w:r>
                      <w:r>
                        <w:rPr>
                          <w:b/>
                        </w:rPr>
                        <w:t>GC</w:t>
                      </w:r>
                      <w:r w:rsidR="00C42054">
                        <w:rPr>
                          <w:b/>
                        </w:rPr>
                        <w:t>WDB Chair</w:t>
                      </w:r>
                    </w:p>
                  </w:tc>
                </w:tr>
                <w:tr w:rsidR="00C25D68" w14:paraId="5E9DB277" w14:textId="77777777">
                  <w:trPr>
                    <w:trHeight w:val="268"/>
                  </w:trPr>
                  <w:tc>
                    <w:tcPr>
                      <w:tcW w:w="9349" w:type="dxa"/>
                      <w:gridSpan w:val="3"/>
                    </w:tcPr>
                    <w:p w14:paraId="36FE8E16" w14:textId="77777777" w:rsidR="00C25D68" w:rsidRDefault="00C25D68">
                      <w:pPr>
                        <w:pStyle w:val="TableParagraph"/>
                        <w:rPr>
                          <w:b/>
                        </w:rPr>
                      </w:pPr>
                    </w:p>
                  </w:tc>
                </w:tr>
                <w:tr w:rsidR="00C25D68" w14:paraId="1A4C256B" w14:textId="77777777">
                  <w:trPr>
                    <w:trHeight w:val="268"/>
                  </w:trPr>
                  <w:tc>
                    <w:tcPr>
                      <w:tcW w:w="9349" w:type="dxa"/>
                      <w:gridSpan w:val="3"/>
                    </w:tcPr>
                    <w:p w14:paraId="07E293C8" w14:textId="77777777" w:rsidR="00C25D68" w:rsidRDefault="00C25D68">
                      <w:pPr>
                        <w:pStyle w:val="TableParagraph"/>
                        <w:rPr>
                          <w:b/>
                        </w:rPr>
                      </w:pPr>
                    </w:p>
                  </w:tc>
                </w:tr>
              </w:tbl>
              <w:p w14:paraId="50ABDAA5" w14:textId="77777777" w:rsidR="006A1D2F" w:rsidRDefault="006A1D2F">
                <w:pPr>
                  <w:pStyle w:val="BodyTex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46A7E"/>
    <w:multiLevelType w:val="hybridMultilevel"/>
    <w:tmpl w:val="60ECB098"/>
    <w:lvl w:ilvl="0" w:tplc="62329E48">
      <w:start w:val="1"/>
      <w:numFmt w:val="upperRoman"/>
      <w:lvlText w:val="%1."/>
      <w:lvlJc w:val="left"/>
      <w:pPr>
        <w:ind w:left="820" w:hanging="720"/>
        <w:jc w:val="left"/>
      </w:pPr>
      <w:rPr>
        <w:rFonts w:hint="default"/>
        <w:b/>
        <w:bCs/>
        <w:spacing w:val="-1"/>
        <w:w w:val="100"/>
        <w:lang w:val="en-US" w:eastAsia="en-US" w:bidi="en-US"/>
      </w:rPr>
    </w:lvl>
    <w:lvl w:ilvl="1" w:tplc="C03C32C8">
      <w:start w:val="1"/>
      <w:numFmt w:val="upperLetter"/>
      <w:lvlText w:val="%2."/>
      <w:lvlJc w:val="left"/>
      <w:pPr>
        <w:ind w:left="1540" w:hanging="720"/>
        <w:jc w:val="left"/>
      </w:pPr>
      <w:rPr>
        <w:rFonts w:ascii="Calibri" w:eastAsia="Calibri" w:hAnsi="Calibri" w:cs="Calibri" w:hint="default"/>
        <w:color w:val="303030"/>
        <w:spacing w:val="-2"/>
        <w:w w:val="100"/>
        <w:sz w:val="24"/>
        <w:szCs w:val="24"/>
        <w:lang w:val="en-US" w:eastAsia="en-US" w:bidi="en-US"/>
      </w:rPr>
    </w:lvl>
    <w:lvl w:ilvl="2" w:tplc="9E9420A0">
      <w:start w:val="1"/>
      <w:numFmt w:val="decimal"/>
      <w:lvlText w:val="(%3)"/>
      <w:lvlJc w:val="left"/>
      <w:pPr>
        <w:ind w:left="2260" w:hanging="720"/>
        <w:jc w:val="left"/>
      </w:pPr>
      <w:rPr>
        <w:rFonts w:ascii="Calibri" w:eastAsia="Calibri" w:hAnsi="Calibri" w:cs="Calibri" w:hint="default"/>
        <w:color w:val="303030"/>
        <w:spacing w:val="-3"/>
        <w:w w:val="100"/>
        <w:sz w:val="24"/>
        <w:szCs w:val="24"/>
        <w:lang w:val="en-US" w:eastAsia="en-US" w:bidi="en-US"/>
      </w:rPr>
    </w:lvl>
    <w:lvl w:ilvl="3" w:tplc="DEE0DF08">
      <w:numFmt w:val="bullet"/>
      <w:lvlText w:val="•"/>
      <w:lvlJc w:val="left"/>
      <w:pPr>
        <w:ind w:left="3175" w:hanging="720"/>
      </w:pPr>
      <w:rPr>
        <w:rFonts w:hint="default"/>
        <w:lang w:val="en-US" w:eastAsia="en-US" w:bidi="en-US"/>
      </w:rPr>
    </w:lvl>
    <w:lvl w:ilvl="4" w:tplc="D10C45A8">
      <w:numFmt w:val="bullet"/>
      <w:lvlText w:val="•"/>
      <w:lvlJc w:val="left"/>
      <w:pPr>
        <w:ind w:left="4090" w:hanging="720"/>
      </w:pPr>
      <w:rPr>
        <w:rFonts w:hint="default"/>
        <w:lang w:val="en-US" w:eastAsia="en-US" w:bidi="en-US"/>
      </w:rPr>
    </w:lvl>
    <w:lvl w:ilvl="5" w:tplc="910640B2">
      <w:numFmt w:val="bullet"/>
      <w:lvlText w:val="•"/>
      <w:lvlJc w:val="left"/>
      <w:pPr>
        <w:ind w:left="5005" w:hanging="720"/>
      </w:pPr>
      <w:rPr>
        <w:rFonts w:hint="default"/>
        <w:lang w:val="en-US" w:eastAsia="en-US" w:bidi="en-US"/>
      </w:rPr>
    </w:lvl>
    <w:lvl w:ilvl="6" w:tplc="3B6278CE">
      <w:numFmt w:val="bullet"/>
      <w:lvlText w:val="•"/>
      <w:lvlJc w:val="left"/>
      <w:pPr>
        <w:ind w:left="5920" w:hanging="720"/>
      </w:pPr>
      <w:rPr>
        <w:rFonts w:hint="default"/>
        <w:lang w:val="en-US" w:eastAsia="en-US" w:bidi="en-US"/>
      </w:rPr>
    </w:lvl>
    <w:lvl w:ilvl="7" w:tplc="FE968C50">
      <w:numFmt w:val="bullet"/>
      <w:lvlText w:val="•"/>
      <w:lvlJc w:val="left"/>
      <w:pPr>
        <w:ind w:left="6835" w:hanging="720"/>
      </w:pPr>
      <w:rPr>
        <w:rFonts w:hint="default"/>
        <w:lang w:val="en-US" w:eastAsia="en-US" w:bidi="en-US"/>
      </w:rPr>
    </w:lvl>
    <w:lvl w:ilvl="8" w:tplc="81AE64AA">
      <w:numFmt w:val="bullet"/>
      <w:lvlText w:val="•"/>
      <w:lvlJc w:val="left"/>
      <w:pPr>
        <w:ind w:left="775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1D2F"/>
    <w:rsid w:val="00040349"/>
    <w:rsid w:val="00124D1E"/>
    <w:rsid w:val="003602EC"/>
    <w:rsid w:val="00381559"/>
    <w:rsid w:val="003D5110"/>
    <w:rsid w:val="003E5035"/>
    <w:rsid w:val="00466542"/>
    <w:rsid w:val="004B66B0"/>
    <w:rsid w:val="004F675B"/>
    <w:rsid w:val="00563556"/>
    <w:rsid w:val="0061764B"/>
    <w:rsid w:val="006A1D2F"/>
    <w:rsid w:val="006B0891"/>
    <w:rsid w:val="0079598E"/>
    <w:rsid w:val="007B7022"/>
    <w:rsid w:val="007E5B2D"/>
    <w:rsid w:val="00C25D68"/>
    <w:rsid w:val="00C42054"/>
    <w:rsid w:val="00DA6E88"/>
    <w:rsid w:val="00F3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0ABDA62"/>
  <w15:docId w15:val="{5C4C1942-B4FC-4969-A8C7-A733C89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C25D68"/>
    <w:pPr>
      <w:tabs>
        <w:tab w:val="center" w:pos="4680"/>
        <w:tab w:val="right" w:pos="9360"/>
      </w:tabs>
    </w:pPr>
  </w:style>
  <w:style w:type="character" w:customStyle="1" w:styleId="HeaderChar">
    <w:name w:val="Header Char"/>
    <w:basedOn w:val="DefaultParagraphFont"/>
    <w:link w:val="Header"/>
    <w:uiPriority w:val="99"/>
    <w:rsid w:val="00C25D68"/>
    <w:rPr>
      <w:rFonts w:ascii="Calibri" w:eastAsia="Calibri" w:hAnsi="Calibri" w:cs="Calibri"/>
      <w:lang w:bidi="en-US"/>
    </w:rPr>
  </w:style>
  <w:style w:type="paragraph" w:styleId="Footer">
    <w:name w:val="footer"/>
    <w:basedOn w:val="Normal"/>
    <w:link w:val="FooterChar"/>
    <w:uiPriority w:val="99"/>
    <w:unhideWhenUsed/>
    <w:rsid w:val="00C25D68"/>
    <w:pPr>
      <w:tabs>
        <w:tab w:val="center" w:pos="4680"/>
        <w:tab w:val="right" w:pos="9360"/>
      </w:tabs>
    </w:pPr>
  </w:style>
  <w:style w:type="character" w:customStyle="1" w:styleId="FooterChar">
    <w:name w:val="Footer Char"/>
    <w:basedOn w:val="DefaultParagraphFont"/>
    <w:link w:val="Footer"/>
    <w:uiPriority w:val="99"/>
    <w:rsid w:val="00C25D6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034A3-4E94-4D44-B946-D1B4DA2F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1AEB2-FFC7-4120-A3BE-56DB9E4E344E}">
  <ds:schemaRefs>
    <ds:schemaRef ds:uri="http://schemas.microsoft.com/sharepoint/v3/contenttype/forms"/>
  </ds:schemaRefs>
</ds:datastoreItem>
</file>

<file path=customXml/itemProps3.xml><?xml version="1.0" encoding="utf-8"?>
<ds:datastoreItem xmlns:ds="http://schemas.openxmlformats.org/officeDocument/2006/customXml" ds:itemID="{0F4C631E-F5F8-456B-9E25-5E7E2528BF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Stierwalt</dc:creator>
  <cp:lastModifiedBy>Cherie Stierwalt</cp:lastModifiedBy>
  <cp:revision>18</cp:revision>
  <dcterms:created xsi:type="dcterms:W3CDTF">2021-01-15T21:20:00Z</dcterms:created>
  <dcterms:modified xsi:type="dcterms:W3CDTF">2021-04-19T16:51:00Z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17 for Word</vt:lpwstr>
  </property>
  <property fmtid="{D5CDD505-2E9C-101B-9397-08002B2CF9AE}" pid="4" name="LastSaved">
    <vt:filetime>2021-01-15T00:00:00Z</vt:filetime>
  </property>
  <property fmtid="{D5CDD505-2E9C-101B-9397-08002B2CF9AE}" pid="5" name="ContentTypeId">
    <vt:lpwstr>0x01010021312B50DE27B94CBCCA0D16585F9EDE</vt:lpwstr>
  </property>
</Properties>
</file>