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2F39" w14:textId="77777777" w:rsidR="004A5764" w:rsidRDefault="004A5764">
      <w:pPr>
        <w:pStyle w:val="BodyText"/>
        <w:kinsoku w:val="0"/>
        <w:overflowPunct w:val="0"/>
        <w:rPr>
          <w:rFonts w:ascii="Times New Roman" w:hAnsi="Times New Roman" w:cs="Times New Roman"/>
          <w:sz w:val="20"/>
          <w:szCs w:val="20"/>
        </w:rPr>
      </w:pPr>
    </w:p>
    <w:p w14:paraId="1B0B5A40" w14:textId="77777777" w:rsidR="004A5764" w:rsidRDefault="004A5764">
      <w:pPr>
        <w:pStyle w:val="BodyText"/>
        <w:kinsoku w:val="0"/>
        <w:overflowPunct w:val="0"/>
        <w:spacing w:before="3"/>
        <w:rPr>
          <w:rFonts w:ascii="Times New Roman" w:hAnsi="Times New Roman" w:cs="Times New Roman"/>
          <w:sz w:val="23"/>
          <w:szCs w:val="23"/>
        </w:rPr>
      </w:pPr>
    </w:p>
    <w:p w14:paraId="1D921A1A" w14:textId="77777777" w:rsidR="004A5764" w:rsidRDefault="00F63429">
      <w:pPr>
        <w:pStyle w:val="BodyText"/>
        <w:kinsoku w:val="0"/>
        <w:overflowPunct w:val="0"/>
        <w:spacing w:before="44"/>
        <w:ind w:left="2587" w:right="2584"/>
        <w:jc w:val="center"/>
        <w:rPr>
          <w:b/>
          <w:bCs/>
          <w:sz w:val="28"/>
          <w:szCs w:val="28"/>
        </w:rPr>
      </w:pPr>
      <w:r>
        <w:rPr>
          <w:b/>
          <w:bCs/>
          <w:sz w:val="28"/>
          <w:szCs w:val="28"/>
        </w:rPr>
        <w:t>Demand Occupations and Skills Policy</w:t>
      </w:r>
    </w:p>
    <w:p w14:paraId="09000A8D" w14:textId="71B78147" w:rsidR="004A5764" w:rsidRDefault="00F63429">
      <w:pPr>
        <w:pStyle w:val="BodyText"/>
        <w:kinsoku w:val="0"/>
        <w:overflowPunct w:val="0"/>
        <w:spacing w:before="186" w:line="259" w:lineRule="auto"/>
        <w:ind w:left="120" w:right="502"/>
      </w:pPr>
      <w:r>
        <w:t xml:space="preserve">The </w:t>
      </w:r>
      <w:r w:rsidR="00FD49C8">
        <w:t xml:space="preserve">Green Country </w:t>
      </w:r>
      <w:r>
        <w:t>Workforce Development Board (</w:t>
      </w:r>
      <w:r w:rsidR="00FD49C8">
        <w:t>GC</w:t>
      </w:r>
      <w:r>
        <w:t>WDB) establishes policy regarding the development of Demand Occupations, Skills, Eligible Training Providers, and criteria for self- sufficiency wages as it relates to training. These policies are linked and interconnect.</w:t>
      </w:r>
    </w:p>
    <w:p w14:paraId="61A1720D" w14:textId="3CEA95D6" w:rsidR="004A5764" w:rsidRDefault="00FD49C8">
      <w:pPr>
        <w:pStyle w:val="BodyText"/>
        <w:kinsoku w:val="0"/>
        <w:overflowPunct w:val="0"/>
        <w:spacing w:before="160" w:line="259" w:lineRule="auto"/>
        <w:ind w:left="119" w:right="397"/>
      </w:pPr>
      <w:r>
        <w:t>GC</w:t>
      </w:r>
      <w:r w:rsidR="00F63429">
        <w:t xml:space="preserve">WDB will follow the guidelines as established in state policy OWDI </w:t>
      </w:r>
      <w:r w:rsidR="005D0955">
        <w:t xml:space="preserve">09-2020 </w:t>
      </w:r>
      <w:r w:rsidR="00F63429">
        <w:t xml:space="preserve">entitled Eligible Training Provider dated </w:t>
      </w:r>
      <w:r w:rsidR="005D0955">
        <w:t>October 8,2020</w:t>
      </w:r>
      <w:r w:rsidR="00F63429">
        <w:t xml:space="preserve"> and OWDI 06-20</w:t>
      </w:r>
      <w:r w:rsidR="005D0955">
        <w:t>20</w:t>
      </w:r>
      <w:r w:rsidR="00F63429">
        <w:t xml:space="preserve">, entitled Poverty Guidelines and LLSIL dated </w:t>
      </w:r>
      <w:r w:rsidR="005D0955">
        <w:t>July 8, 2020.</w:t>
      </w:r>
    </w:p>
    <w:p w14:paraId="09A14AB9" w14:textId="23252C86" w:rsidR="004A5764" w:rsidRDefault="00FD49C8">
      <w:pPr>
        <w:pStyle w:val="BodyText"/>
        <w:kinsoku w:val="0"/>
        <w:overflowPunct w:val="0"/>
        <w:spacing w:before="159" w:line="259" w:lineRule="auto"/>
        <w:ind w:left="119" w:right="385"/>
      </w:pPr>
      <w:r>
        <w:t>GC</w:t>
      </w:r>
      <w:r w:rsidR="00F63429">
        <w:t>WDB and Service Provider staff shall comply with all federal and state policies that provide guidance for the development of the Demand Occupation List.</w:t>
      </w:r>
    </w:p>
    <w:p w14:paraId="0BBC4133" w14:textId="3507F347" w:rsidR="004A5764" w:rsidRDefault="00F63429">
      <w:pPr>
        <w:pStyle w:val="ListParagraph"/>
        <w:numPr>
          <w:ilvl w:val="0"/>
          <w:numId w:val="1"/>
        </w:numPr>
        <w:tabs>
          <w:tab w:val="left" w:pos="840"/>
        </w:tabs>
        <w:kinsoku w:val="0"/>
        <w:overflowPunct w:val="0"/>
        <w:spacing w:before="160"/>
        <w:ind w:left="119" w:right="474" w:firstLine="0"/>
        <w:rPr>
          <w:color w:val="000000"/>
        </w:rPr>
      </w:pPr>
      <w:bookmarkStart w:id="0" w:name="I._Purpose:__To_establish_a_local_policy"/>
      <w:bookmarkEnd w:id="0"/>
      <w:r>
        <w:rPr>
          <w:b/>
          <w:bCs/>
          <w:color w:val="303030"/>
        </w:rPr>
        <w:t xml:space="preserve">Purpose: </w:t>
      </w:r>
      <w:r>
        <w:rPr>
          <w:color w:val="303030"/>
        </w:rPr>
        <w:t xml:space="preserve">To establish a local policy regarding the development of a </w:t>
      </w:r>
      <w:r w:rsidR="00FD49C8">
        <w:rPr>
          <w:color w:val="303030"/>
        </w:rPr>
        <w:t>GC</w:t>
      </w:r>
      <w:r>
        <w:rPr>
          <w:color w:val="303030"/>
        </w:rPr>
        <w:t>WDB Demand Occupation list and its relationship to the creation and maintenance of Eligible Training Providers (ETP)</w:t>
      </w:r>
      <w:r>
        <w:rPr>
          <w:color w:val="303030"/>
          <w:spacing w:val="-3"/>
        </w:rPr>
        <w:t xml:space="preserve"> </w:t>
      </w:r>
      <w:r>
        <w:rPr>
          <w:color w:val="303030"/>
        </w:rPr>
        <w:t>list.</w:t>
      </w:r>
    </w:p>
    <w:p w14:paraId="501DF886" w14:textId="77777777" w:rsidR="004A5764" w:rsidRDefault="004A5764">
      <w:pPr>
        <w:pStyle w:val="BodyText"/>
        <w:kinsoku w:val="0"/>
        <w:overflowPunct w:val="0"/>
        <w:spacing w:before="11"/>
        <w:rPr>
          <w:sz w:val="23"/>
          <w:szCs w:val="23"/>
        </w:rPr>
      </w:pPr>
    </w:p>
    <w:p w14:paraId="28D412F5" w14:textId="77777777" w:rsidR="004A5764" w:rsidRDefault="00F63429">
      <w:pPr>
        <w:pStyle w:val="Heading1"/>
        <w:numPr>
          <w:ilvl w:val="0"/>
          <w:numId w:val="1"/>
        </w:numPr>
        <w:tabs>
          <w:tab w:val="left" w:pos="840"/>
        </w:tabs>
        <w:kinsoku w:val="0"/>
        <w:overflowPunct w:val="0"/>
        <w:ind w:left="840" w:hanging="721"/>
        <w:rPr>
          <w:color w:val="303030"/>
        </w:rPr>
      </w:pPr>
      <w:bookmarkStart w:id="1" w:name="II._Definitions:"/>
      <w:bookmarkEnd w:id="1"/>
      <w:r>
        <w:rPr>
          <w:color w:val="303030"/>
        </w:rPr>
        <w:t>Definitions:</w:t>
      </w:r>
    </w:p>
    <w:p w14:paraId="6AE81885" w14:textId="77777777" w:rsidR="004A5764" w:rsidRDefault="004A5764">
      <w:pPr>
        <w:pStyle w:val="BodyText"/>
        <w:kinsoku w:val="0"/>
        <w:overflowPunct w:val="0"/>
        <w:spacing w:before="1"/>
        <w:rPr>
          <w:b/>
          <w:bCs/>
          <w:sz w:val="27"/>
          <w:szCs w:val="27"/>
        </w:rPr>
      </w:pPr>
    </w:p>
    <w:p w14:paraId="65018626" w14:textId="77777777" w:rsidR="004A5764" w:rsidRDefault="00F63429">
      <w:pPr>
        <w:pStyle w:val="ListParagraph"/>
        <w:numPr>
          <w:ilvl w:val="1"/>
          <w:numId w:val="1"/>
        </w:numPr>
        <w:tabs>
          <w:tab w:val="left" w:pos="1560"/>
        </w:tabs>
        <w:kinsoku w:val="0"/>
        <w:overflowPunct w:val="0"/>
        <w:spacing w:before="1"/>
        <w:ind w:right="208"/>
        <w:rPr>
          <w:color w:val="303030"/>
        </w:rPr>
      </w:pPr>
      <w:r>
        <w:rPr>
          <w:color w:val="303030"/>
          <w:u w:val="single"/>
        </w:rPr>
        <w:t>In-demand occupations</w:t>
      </w:r>
      <w:r>
        <w:rPr>
          <w:color w:val="303030"/>
        </w:rPr>
        <w:t xml:space="preserve"> have a substantial current or potential impact (including through jobs that lead to economic </w:t>
      </w:r>
      <w:r>
        <w:rPr>
          <w:i/>
          <w:iCs/>
          <w:color w:val="303030"/>
        </w:rPr>
        <w:t xml:space="preserve">self-sufficiency </w:t>
      </w:r>
      <w:r>
        <w:rPr>
          <w:color w:val="303030"/>
        </w:rPr>
        <w:t>and opportunities for advancement) on the State, regional, or local economy, as appropriate, and that contributes to the growth or stability of other supporting businesses, or the growth of other industry sectors. Demand Occupations, as they are approved by the TAWDB, shall be the only SOC Codes for which workforce investment dollars are used to provide occupational skills</w:t>
      </w:r>
      <w:r>
        <w:rPr>
          <w:color w:val="303030"/>
          <w:spacing w:val="-4"/>
        </w:rPr>
        <w:t xml:space="preserve"> </w:t>
      </w:r>
      <w:r>
        <w:rPr>
          <w:color w:val="303030"/>
        </w:rPr>
        <w:t>training.</w:t>
      </w:r>
    </w:p>
    <w:p w14:paraId="068445F0" w14:textId="77777777" w:rsidR="004A5764" w:rsidRDefault="004A5764">
      <w:pPr>
        <w:pStyle w:val="BodyText"/>
        <w:kinsoku w:val="0"/>
        <w:overflowPunct w:val="0"/>
        <w:spacing w:before="10"/>
        <w:rPr>
          <w:sz w:val="23"/>
          <w:szCs w:val="23"/>
        </w:rPr>
      </w:pPr>
    </w:p>
    <w:p w14:paraId="1B7BAB68" w14:textId="4796014B" w:rsidR="004A5764" w:rsidRDefault="00F63429">
      <w:pPr>
        <w:pStyle w:val="ListParagraph"/>
        <w:numPr>
          <w:ilvl w:val="1"/>
          <w:numId w:val="1"/>
        </w:numPr>
        <w:tabs>
          <w:tab w:val="left" w:pos="1560"/>
        </w:tabs>
        <w:kinsoku w:val="0"/>
        <w:overflowPunct w:val="0"/>
        <w:spacing w:before="1"/>
        <w:ind w:right="129"/>
        <w:rPr>
          <w:color w:val="303030"/>
        </w:rPr>
      </w:pPr>
      <w:r>
        <w:rPr>
          <w:color w:val="303030"/>
          <w:u w:val="single"/>
        </w:rPr>
        <w:t>Demand Skills</w:t>
      </w:r>
      <w:r>
        <w:rPr>
          <w:color w:val="303030"/>
        </w:rPr>
        <w:t xml:space="preserve"> are skills identified by the </w:t>
      </w:r>
      <w:r w:rsidR="005D0955">
        <w:rPr>
          <w:color w:val="303030"/>
        </w:rPr>
        <w:t>GC</w:t>
      </w:r>
      <w:r>
        <w:rPr>
          <w:color w:val="303030"/>
        </w:rPr>
        <w:t>WDB as necessary to support employment in certain Demand Occupations. Development or instruction in demand skills areas may be obtained through short-term pre-vocational</w:t>
      </w:r>
      <w:r>
        <w:rPr>
          <w:color w:val="303030"/>
          <w:spacing w:val="-25"/>
        </w:rPr>
        <w:t xml:space="preserve"> </w:t>
      </w:r>
      <w:r>
        <w:rPr>
          <w:color w:val="303030"/>
        </w:rPr>
        <w:t>services.</w:t>
      </w:r>
    </w:p>
    <w:p w14:paraId="726B767E" w14:textId="77777777" w:rsidR="004A5764" w:rsidRDefault="004A5764">
      <w:pPr>
        <w:pStyle w:val="BodyText"/>
        <w:kinsoku w:val="0"/>
        <w:overflowPunct w:val="0"/>
        <w:spacing w:before="1"/>
      </w:pPr>
    </w:p>
    <w:p w14:paraId="1FADA514" w14:textId="77777777" w:rsidR="004A5764" w:rsidRDefault="00F63429">
      <w:pPr>
        <w:pStyle w:val="BodyText"/>
        <w:kinsoku w:val="0"/>
        <w:overflowPunct w:val="0"/>
        <w:ind w:left="1559" w:right="382"/>
        <w:jc w:val="both"/>
        <w:rPr>
          <w:color w:val="303030"/>
        </w:rPr>
      </w:pPr>
      <w:r>
        <w:rPr>
          <w:color w:val="303030"/>
        </w:rPr>
        <w:t>Short-term pre-vocational services are not tied to a specific occupation and do not result in a certification or license. Services may include course-like services designed to prepare individuals for unsubsidized employment or training.</w:t>
      </w:r>
    </w:p>
    <w:p w14:paraId="63A2B9EB" w14:textId="77777777" w:rsidR="004A5764" w:rsidRDefault="004A5764">
      <w:pPr>
        <w:pStyle w:val="BodyText"/>
        <w:kinsoku w:val="0"/>
        <w:overflowPunct w:val="0"/>
        <w:ind w:left="1559" w:right="382"/>
        <w:jc w:val="both"/>
        <w:rPr>
          <w:color w:val="303030"/>
        </w:rPr>
        <w:sectPr w:rsidR="004A5764">
          <w:headerReference w:type="default" r:id="rId10"/>
          <w:footerReference w:type="default" r:id="rId11"/>
          <w:pgSz w:w="12240" w:h="15840"/>
          <w:pgMar w:top="2080" w:right="1320" w:bottom="2620" w:left="1320" w:header="994" w:footer="2434" w:gutter="0"/>
          <w:pgNumType w:start="1"/>
          <w:cols w:space="720"/>
          <w:noEndnote/>
        </w:sectPr>
      </w:pPr>
    </w:p>
    <w:p w14:paraId="74C35B69" w14:textId="77777777" w:rsidR="004A5764" w:rsidRDefault="004A5764">
      <w:pPr>
        <w:pStyle w:val="BodyText"/>
        <w:kinsoku w:val="0"/>
        <w:overflowPunct w:val="0"/>
        <w:rPr>
          <w:sz w:val="20"/>
          <w:szCs w:val="20"/>
        </w:rPr>
      </w:pPr>
    </w:p>
    <w:p w14:paraId="0596D2B2" w14:textId="77777777" w:rsidR="004A5764" w:rsidRDefault="004A5764">
      <w:pPr>
        <w:pStyle w:val="BodyText"/>
        <w:kinsoku w:val="0"/>
        <w:overflowPunct w:val="0"/>
        <w:spacing w:before="2"/>
        <w:rPr>
          <w:sz w:val="20"/>
          <w:szCs w:val="20"/>
        </w:rPr>
      </w:pPr>
    </w:p>
    <w:p w14:paraId="061D9A69" w14:textId="77777777" w:rsidR="004A5764" w:rsidRDefault="00F63429">
      <w:pPr>
        <w:pStyle w:val="ListParagraph"/>
        <w:numPr>
          <w:ilvl w:val="1"/>
          <w:numId w:val="1"/>
        </w:numPr>
        <w:tabs>
          <w:tab w:val="left" w:pos="1560"/>
        </w:tabs>
        <w:kinsoku w:val="0"/>
        <w:overflowPunct w:val="0"/>
        <w:spacing w:before="51"/>
        <w:ind w:left="1559" w:right="128"/>
        <w:rPr>
          <w:color w:val="303030"/>
        </w:rPr>
      </w:pPr>
      <w:r>
        <w:rPr>
          <w:color w:val="303030"/>
        </w:rPr>
        <w:t>E</w:t>
      </w:r>
      <w:r>
        <w:rPr>
          <w:color w:val="303030"/>
          <w:u w:val="single"/>
        </w:rPr>
        <w:t>ligible training provider</w:t>
      </w:r>
      <w:r>
        <w:rPr>
          <w:color w:val="303030"/>
        </w:rPr>
        <w:t xml:space="preserve"> is a state-approved entity which deliverers state- approved training programs. An eligible training provider (ETP) is the only type of entity that may receive funding for training services through an individual training account (ITA). (See P-0400100 entitled Eligible Training</w:t>
      </w:r>
      <w:r>
        <w:rPr>
          <w:color w:val="303030"/>
          <w:spacing w:val="-9"/>
        </w:rPr>
        <w:t xml:space="preserve"> </w:t>
      </w:r>
      <w:r>
        <w:rPr>
          <w:color w:val="303030"/>
        </w:rPr>
        <w:t>Providers).</w:t>
      </w:r>
    </w:p>
    <w:p w14:paraId="38B953E9" w14:textId="77777777" w:rsidR="004A5764" w:rsidRDefault="004A5764">
      <w:pPr>
        <w:pStyle w:val="BodyText"/>
        <w:kinsoku w:val="0"/>
        <w:overflowPunct w:val="0"/>
        <w:spacing w:before="11"/>
        <w:rPr>
          <w:sz w:val="23"/>
          <w:szCs w:val="23"/>
        </w:rPr>
      </w:pPr>
    </w:p>
    <w:p w14:paraId="38D4DA1A" w14:textId="77777777" w:rsidR="004A5764" w:rsidRDefault="00F63429">
      <w:pPr>
        <w:pStyle w:val="ListParagraph"/>
        <w:numPr>
          <w:ilvl w:val="1"/>
          <w:numId w:val="1"/>
        </w:numPr>
        <w:tabs>
          <w:tab w:val="left" w:pos="1560"/>
        </w:tabs>
        <w:kinsoku w:val="0"/>
        <w:overflowPunct w:val="0"/>
        <w:spacing w:before="1"/>
        <w:ind w:right="438"/>
        <w:rPr>
          <w:color w:val="303030"/>
        </w:rPr>
      </w:pPr>
      <w:r>
        <w:rPr>
          <w:color w:val="303030"/>
          <w:u w:val="single"/>
        </w:rPr>
        <w:t>Self-sufficiency</w:t>
      </w:r>
      <w:r>
        <w:rPr>
          <w:color w:val="303030"/>
        </w:rPr>
        <w:t xml:space="preserve"> is defined by how much families need to meet basic needs without the help of public or private assistance. The Self-Sufficiency Standard determines the amount of income required for working families to meet basic needs at a minimally adequate level, taking into account family composition, ages of children, and geographic differences in</w:t>
      </w:r>
      <w:r>
        <w:rPr>
          <w:color w:val="303030"/>
          <w:spacing w:val="-7"/>
        </w:rPr>
        <w:t xml:space="preserve"> </w:t>
      </w:r>
      <w:r>
        <w:rPr>
          <w:color w:val="303030"/>
        </w:rPr>
        <w:t>costs.</w:t>
      </w:r>
    </w:p>
    <w:p w14:paraId="58BFE3B9" w14:textId="77777777" w:rsidR="004A5764" w:rsidRDefault="004A5764">
      <w:pPr>
        <w:pStyle w:val="BodyText"/>
        <w:kinsoku w:val="0"/>
        <w:overflowPunct w:val="0"/>
        <w:spacing w:before="1"/>
      </w:pPr>
    </w:p>
    <w:p w14:paraId="54900699" w14:textId="39CC7582" w:rsidR="004A5764" w:rsidRDefault="00F63429">
      <w:pPr>
        <w:pStyle w:val="BodyText"/>
        <w:kinsoku w:val="0"/>
        <w:overflowPunct w:val="0"/>
        <w:ind w:left="1560" w:right="303"/>
        <w:rPr>
          <w:color w:val="303030"/>
        </w:rPr>
      </w:pPr>
      <w:r>
        <w:rPr>
          <w:color w:val="303030"/>
        </w:rPr>
        <w:t xml:space="preserve">The 100% LLSIL is used to determine self- sufficiency as noted at Section 3 (36)(A)(ii) and Section 3 (36)(B) of WIOA. </w:t>
      </w:r>
      <w:r w:rsidR="005D0955">
        <w:rPr>
          <w:color w:val="303030"/>
        </w:rPr>
        <w:t>GC</w:t>
      </w:r>
      <w:r>
        <w:rPr>
          <w:color w:val="303030"/>
        </w:rPr>
        <w:t>WDB has determined to use a rate of 150% for our region. (See P-0300300</w:t>
      </w:r>
      <w:r w:rsidR="00FD49C8">
        <w:rPr>
          <w:color w:val="303030"/>
        </w:rPr>
        <w:t xml:space="preserve"> </w:t>
      </w:r>
      <w:r>
        <w:rPr>
          <w:color w:val="303030"/>
        </w:rPr>
        <w:t>entitled Self Sufficiency).</w:t>
      </w:r>
      <w:r w:rsidR="00FD49C8">
        <w:rPr>
          <w:color w:val="303030"/>
        </w:rPr>
        <w:t xml:space="preserve">  </w:t>
      </w:r>
    </w:p>
    <w:p w14:paraId="345A05FB" w14:textId="77777777" w:rsidR="004A5764" w:rsidRDefault="004A5764">
      <w:pPr>
        <w:pStyle w:val="BodyText"/>
        <w:kinsoku w:val="0"/>
        <w:overflowPunct w:val="0"/>
      </w:pPr>
    </w:p>
    <w:p w14:paraId="7CA44552" w14:textId="77777777" w:rsidR="004A5764" w:rsidRDefault="004A5764">
      <w:pPr>
        <w:pStyle w:val="BodyText"/>
        <w:kinsoku w:val="0"/>
        <w:overflowPunct w:val="0"/>
        <w:spacing w:before="11"/>
        <w:rPr>
          <w:sz w:val="23"/>
          <w:szCs w:val="23"/>
        </w:rPr>
      </w:pPr>
    </w:p>
    <w:p w14:paraId="45046482" w14:textId="77777777" w:rsidR="004A5764" w:rsidRDefault="00F63429">
      <w:pPr>
        <w:pStyle w:val="Heading1"/>
        <w:numPr>
          <w:ilvl w:val="0"/>
          <w:numId w:val="1"/>
        </w:numPr>
        <w:tabs>
          <w:tab w:val="left" w:pos="840"/>
        </w:tabs>
        <w:kinsoku w:val="0"/>
        <w:overflowPunct w:val="0"/>
        <w:ind w:left="840"/>
        <w:rPr>
          <w:color w:val="303030"/>
        </w:rPr>
      </w:pPr>
      <w:bookmarkStart w:id="2" w:name="III._Functions:"/>
      <w:bookmarkEnd w:id="2"/>
      <w:r>
        <w:rPr>
          <w:color w:val="303030"/>
        </w:rPr>
        <w:t>Functions:</w:t>
      </w:r>
    </w:p>
    <w:p w14:paraId="5490A3AB" w14:textId="77777777" w:rsidR="004A5764" w:rsidRDefault="004A5764">
      <w:pPr>
        <w:pStyle w:val="BodyText"/>
        <w:kinsoku w:val="0"/>
        <w:overflowPunct w:val="0"/>
        <w:spacing w:before="12"/>
        <w:rPr>
          <w:b/>
          <w:bCs/>
          <w:sz w:val="25"/>
          <w:szCs w:val="25"/>
        </w:rPr>
      </w:pPr>
    </w:p>
    <w:p w14:paraId="4BE3CC29" w14:textId="77777777" w:rsidR="004A5764" w:rsidRDefault="00F63429">
      <w:pPr>
        <w:pStyle w:val="ListParagraph"/>
        <w:numPr>
          <w:ilvl w:val="1"/>
          <w:numId w:val="1"/>
        </w:numPr>
        <w:tabs>
          <w:tab w:val="left" w:pos="1560"/>
        </w:tabs>
        <w:kinsoku w:val="0"/>
        <w:overflowPunct w:val="0"/>
        <w:ind w:left="1559" w:right="223"/>
        <w:rPr>
          <w:color w:val="303030"/>
        </w:rPr>
      </w:pPr>
      <w:r>
        <w:rPr>
          <w:color w:val="303030"/>
        </w:rPr>
        <w:t>Demand Occupations Selected: The demand occupations selected by the local workforce board are used in determining the priority of workforce development funds for programs and training services that are linked to these workforce needs.</w:t>
      </w:r>
    </w:p>
    <w:p w14:paraId="7D1C1017" w14:textId="77777777" w:rsidR="004A5764" w:rsidRDefault="004A5764">
      <w:pPr>
        <w:pStyle w:val="BodyText"/>
        <w:kinsoku w:val="0"/>
        <w:overflowPunct w:val="0"/>
        <w:spacing w:before="11"/>
        <w:rPr>
          <w:sz w:val="23"/>
          <w:szCs w:val="23"/>
        </w:rPr>
      </w:pPr>
    </w:p>
    <w:p w14:paraId="38A24255" w14:textId="77777777" w:rsidR="004A5764" w:rsidRDefault="00F63429">
      <w:pPr>
        <w:pStyle w:val="ListParagraph"/>
        <w:numPr>
          <w:ilvl w:val="2"/>
          <w:numId w:val="1"/>
        </w:numPr>
        <w:tabs>
          <w:tab w:val="left" w:pos="1853"/>
        </w:tabs>
        <w:kinsoku w:val="0"/>
        <w:overflowPunct w:val="0"/>
        <w:ind w:left="1559" w:right="238" w:firstLine="0"/>
        <w:jc w:val="both"/>
        <w:rPr>
          <w:color w:val="303030"/>
        </w:rPr>
      </w:pPr>
      <w:r>
        <w:rPr>
          <w:color w:val="303030"/>
        </w:rPr>
        <w:t>Demand Occupations will be determined by reviewing identified occupations from The Bureaus of Labor Statistics, EMSI, OESC, The Department of Labor and the Oklahoma Department of Commerce and other industry related</w:t>
      </w:r>
      <w:r>
        <w:rPr>
          <w:color w:val="303030"/>
          <w:spacing w:val="-13"/>
        </w:rPr>
        <w:t xml:space="preserve"> </w:t>
      </w:r>
      <w:r>
        <w:rPr>
          <w:color w:val="303030"/>
        </w:rPr>
        <w:t>sources.</w:t>
      </w:r>
    </w:p>
    <w:p w14:paraId="43D79A02" w14:textId="1BD39586" w:rsidR="004A5764" w:rsidRDefault="00F63429">
      <w:pPr>
        <w:pStyle w:val="ListParagraph"/>
        <w:numPr>
          <w:ilvl w:val="2"/>
          <w:numId w:val="1"/>
        </w:numPr>
        <w:tabs>
          <w:tab w:val="left" w:pos="1853"/>
        </w:tabs>
        <w:kinsoku w:val="0"/>
        <w:overflowPunct w:val="0"/>
        <w:spacing w:before="2"/>
        <w:ind w:left="1559" w:right="186" w:firstLine="0"/>
        <w:rPr>
          <w:color w:val="303030"/>
        </w:rPr>
      </w:pPr>
      <w:r>
        <w:rPr>
          <w:color w:val="303030"/>
        </w:rPr>
        <w:t>The Demand Occupations List will be certified as current at the first Program Year meeting (July) and may be updated throughout the year as needed. This</w:t>
      </w:r>
      <w:r>
        <w:rPr>
          <w:color w:val="303030"/>
          <w:spacing w:val="-27"/>
        </w:rPr>
        <w:t xml:space="preserve"> </w:t>
      </w:r>
      <w:r>
        <w:rPr>
          <w:color w:val="303030"/>
        </w:rPr>
        <w:t xml:space="preserve">list will be maintained in the </w:t>
      </w:r>
      <w:r w:rsidR="007C115B">
        <w:rPr>
          <w:color w:val="303030"/>
        </w:rPr>
        <w:t>GC</w:t>
      </w:r>
      <w:r>
        <w:rPr>
          <w:color w:val="303030"/>
        </w:rPr>
        <w:t>WDB permanent files and distributed to the service provider.</w:t>
      </w:r>
    </w:p>
    <w:p w14:paraId="413C247B" w14:textId="77777777" w:rsidR="004A5764" w:rsidRDefault="004A5764">
      <w:pPr>
        <w:pStyle w:val="BodyText"/>
        <w:kinsoku w:val="0"/>
        <w:overflowPunct w:val="0"/>
        <w:spacing w:before="11"/>
        <w:rPr>
          <w:sz w:val="23"/>
          <w:szCs w:val="23"/>
        </w:rPr>
      </w:pPr>
    </w:p>
    <w:p w14:paraId="3B504FC9" w14:textId="77777777" w:rsidR="004A5764" w:rsidRDefault="00F63429">
      <w:pPr>
        <w:pStyle w:val="ListParagraph"/>
        <w:numPr>
          <w:ilvl w:val="1"/>
          <w:numId w:val="1"/>
        </w:numPr>
        <w:tabs>
          <w:tab w:val="left" w:pos="1560"/>
        </w:tabs>
        <w:kinsoku w:val="0"/>
        <w:overflowPunct w:val="0"/>
        <w:ind w:hanging="721"/>
        <w:rPr>
          <w:color w:val="303030"/>
        </w:rPr>
      </w:pPr>
      <w:r>
        <w:rPr>
          <w:color w:val="303030"/>
        </w:rPr>
        <w:t>Demand skills</w:t>
      </w:r>
      <w:r>
        <w:rPr>
          <w:color w:val="303030"/>
          <w:spacing w:val="1"/>
        </w:rPr>
        <w:t xml:space="preserve"> </w:t>
      </w:r>
      <w:r>
        <w:rPr>
          <w:color w:val="303030"/>
        </w:rPr>
        <w:t>should:</w:t>
      </w:r>
    </w:p>
    <w:p w14:paraId="1311A857" w14:textId="77777777" w:rsidR="004A5764" w:rsidRDefault="004A5764">
      <w:pPr>
        <w:pStyle w:val="BodyText"/>
        <w:kinsoku w:val="0"/>
        <w:overflowPunct w:val="0"/>
      </w:pPr>
    </w:p>
    <w:p w14:paraId="2773CEAD" w14:textId="77777777" w:rsidR="004A5764" w:rsidRDefault="00F63429">
      <w:pPr>
        <w:pStyle w:val="ListParagraph"/>
        <w:numPr>
          <w:ilvl w:val="2"/>
          <w:numId w:val="1"/>
        </w:numPr>
        <w:tabs>
          <w:tab w:val="left" w:pos="1908"/>
        </w:tabs>
        <w:kinsoku w:val="0"/>
        <w:overflowPunct w:val="0"/>
        <w:ind w:left="1908" w:hanging="349"/>
        <w:rPr>
          <w:color w:val="303030"/>
        </w:rPr>
      </w:pPr>
      <w:r>
        <w:rPr>
          <w:color w:val="303030"/>
        </w:rPr>
        <w:t>Support economic development</w:t>
      </w:r>
      <w:r>
        <w:rPr>
          <w:color w:val="303030"/>
          <w:spacing w:val="-3"/>
        </w:rPr>
        <w:t xml:space="preserve"> </w:t>
      </w:r>
      <w:r>
        <w:rPr>
          <w:color w:val="303030"/>
        </w:rPr>
        <w:t>priorities;</w:t>
      </w:r>
    </w:p>
    <w:p w14:paraId="20CC77C0" w14:textId="77777777" w:rsidR="004A5764" w:rsidRDefault="00F63429">
      <w:pPr>
        <w:pStyle w:val="ListParagraph"/>
        <w:numPr>
          <w:ilvl w:val="2"/>
          <w:numId w:val="1"/>
        </w:numPr>
        <w:tabs>
          <w:tab w:val="left" w:pos="1908"/>
        </w:tabs>
        <w:kinsoku w:val="0"/>
        <w:overflowPunct w:val="0"/>
        <w:ind w:left="1907" w:hanging="349"/>
        <w:rPr>
          <w:color w:val="303030"/>
        </w:rPr>
      </w:pPr>
      <w:r>
        <w:rPr>
          <w:color w:val="303030"/>
        </w:rPr>
        <w:t>Focus on industrial sectors and clusters, whether present or</w:t>
      </w:r>
      <w:r>
        <w:rPr>
          <w:color w:val="303030"/>
          <w:spacing w:val="-12"/>
        </w:rPr>
        <w:t xml:space="preserve"> </w:t>
      </w:r>
      <w:r>
        <w:rPr>
          <w:color w:val="303030"/>
        </w:rPr>
        <w:t>emerging;</w:t>
      </w:r>
    </w:p>
    <w:p w14:paraId="5F1ABD5E" w14:textId="77777777" w:rsidR="004A5764" w:rsidRDefault="004A5764">
      <w:pPr>
        <w:pStyle w:val="ListParagraph"/>
        <w:numPr>
          <w:ilvl w:val="2"/>
          <w:numId w:val="1"/>
        </w:numPr>
        <w:tabs>
          <w:tab w:val="left" w:pos="1908"/>
        </w:tabs>
        <w:kinsoku w:val="0"/>
        <w:overflowPunct w:val="0"/>
        <w:ind w:left="1907" w:hanging="349"/>
        <w:rPr>
          <w:color w:val="303030"/>
        </w:rPr>
        <w:sectPr w:rsidR="004A5764">
          <w:pgSz w:w="12240" w:h="15840"/>
          <w:pgMar w:top="2080" w:right="1320" w:bottom="2640" w:left="1320" w:header="994" w:footer="2434" w:gutter="0"/>
          <w:cols w:space="720"/>
          <w:noEndnote/>
        </w:sectPr>
      </w:pPr>
    </w:p>
    <w:p w14:paraId="1FDF96F7" w14:textId="77777777" w:rsidR="004A5764" w:rsidRDefault="004A5764">
      <w:pPr>
        <w:pStyle w:val="BodyText"/>
        <w:kinsoku w:val="0"/>
        <w:overflowPunct w:val="0"/>
        <w:rPr>
          <w:sz w:val="20"/>
          <w:szCs w:val="20"/>
        </w:rPr>
      </w:pPr>
    </w:p>
    <w:p w14:paraId="5FAF5712" w14:textId="77777777" w:rsidR="004A5764" w:rsidRDefault="004A5764">
      <w:pPr>
        <w:pStyle w:val="BodyText"/>
        <w:kinsoku w:val="0"/>
        <w:overflowPunct w:val="0"/>
        <w:spacing w:before="2"/>
        <w:rPr>
          <w:sz w:val="20"/>
          <w:szCs w:val="20"/>
        </w:rPr>
      </w:pPr>
    </w:p>
    <w:p w14:paraId="64AC4978" w14:textId="77777777" w:rsidR="004A5764" w:rsidRDefault="00F63429">
      <w:pPr>
        <w:pStyle w:val="ListParagraph"/>
        <w:numPr>
          <w:ilvl w:val="2"/>
          <w:numId w:val="1"/>
        </w:numPr>
        <w:tabs>
          <w:tab w:val="left" w:pos="1853"/>
        </w:tabs>
        <w:kinsoku w:val="0"/>
        <w:overflowPunct w:val="0"/>
        <w:spacing w:before="51"/>
        <w:ind w:left="1852"/>
        <w:rPr>
          <w:color w:val="303030"/>
        </w:rPr>
      </w:pPr>
      <w:r>
        <w:rPr>
          <w:color w:val="303030"/>
        </w:rPr>
        <w:t>Address industry-specific or general shortages;</w:t>
      </w:r>
    </w:p>
    <w:p w14:paraId="408B6B11" w14:textId="77777777" w:rsidR="004A5764" w:rsidRDefault="00F63429">
      <w:pPr>
        <w:pStyle w:val="ListParagraph"/>
        <w:numPr>
          <w:ilvl w:val="2"/>
          <w:numId w:val="1"/>
        </w:numPr>
        <w:tabs>
          <w:tab w:val="left" w:pos="1853"/>
        </w:tabs>
        <w:kinsoku w:val="0"/>
        <w:overflowPunct w:val="0"/>
        <w:ind w:right="1098" w:firstLine="0"/>
        <w:rPr>
          <w:color w:val="303030"/>
        </w:rPr>
      </w:pPr>
      <w:r>
        <w:rPr>
          <w:color w:val="303030"/>
        </w:rPr>
        <w:t>Enhance workplace literacy, including vocational English as a</w:t>
      </w:r>
      <w:r>
        <w:rPr>
          <w:color w:val="303030"/>
          <w:spacing w:val="-24"/>
        </w:rPr>
        <w:t xml:space="preserve"> </w:t>
      </w:r>
      <w:r>
        <w:rPr>
          <w:color w:val="303030"/>
        </w:rPr>
        <w:t>second language.</w:t>
      </w:r>
    </w:p>
    <w:p w14:paraId="3F974949" w14:textId="77777777" w:rsidR="004A5764" w:rsidRDefault="004A5764">
      <w:pPr>
        <w:pStyle w:val="BodyText"/>
        <w:kinsoku w:val="0"/>
        <w:overflowPunct w:val="0"/>
        <w:spacing w:before="12"/>
        <w:rPr>
          <w:sz w:val="23"/>
          <w:szCs w:val="23"/>
        </w:rPr>
      </w:pPr>
    </w:p>
    <w:p w14:paraId="29E354C1" w14:textId="715FEB6D" w:rsidR="004A5764" w:rsidRDefault="00F63429">
      <w:pPr>
        <w:pStyle w:val="ListParagraph"/>
        <w:numPr>
          <w:ilvl w:val="1"/>
          <w:numId w:val="1"/>
        </w:numPr>
        <w:tabs>
          <w:tab w:val="left" w:pos="1560"/>
        </w:tabs>
        <w:kinsoku w:val="0"/>
        <w:overflowPunct w:val="0"/>
        <w:rPr>
          <w:color w:val="303030"/>
        </w:rPr>
      </w:pPr>
      <w:r>
        <w:rPr>
          <w:color w:val="303030"/>
        </w:rPr>
        <w:t xml:space="preserve">Demand Skills Identified for </w:t>
      </w:r>
      <w:r w:rsidR="007C115B">
        <w:rPr>
          <w:color w:val="303030"/>
        </w:rPr>
        <w:t>GC</w:t>
      </w:r>
      <w:r>
        <w:rPr>
          <w:color w:val="303030"/>
        </w:rPr>
        <w:t>WDB area</w:t>
      </w:r>
      <w:r>
        <w:rPr>
          <w:color w:val="303030"/>
          <w:spacing w:val="-3"/>
        </w:rPr>
        <w:t xml:space="preserve"> </w:t>
      </w:r>
      <w:r>
        <w:rPr>
          <w:color w:val="303030"/>
        </w:rPr>
        <w:t>include:</w:t>
      </w:r>
    </w:p>
    <w:p w14:paraId="113744C9" w14:textId="77777777" w:rsidR="004A5764" w:rsidRDefault="004A5764">
      <w:pPr>
        <w:pStyle w:val="BodyText"/>
        <w:kinsoku w:val="0"/>
        <w:overflowPunct w:val="0"/>
        <w:spacing w:before="12"/>
        <w:rPr>
          <w:sz w:val="23"/>
          <w:szCs w:val="23"/>
        </w:rPr>
      </w:pPr>
    </w:p>
    <w:p w14:paraId="1056903D" w14:textId="77777777" w:rsidR="004A5764" w:rsidRDefault="00F63429">
      <w:pPr>
        <w:pStyle w:val="ListParagraph"/>
        <w:numPr>
          <w:ilvl w:val="2"/>
          <w:numId w:val="1"/>
        </w:numPr>
        <w:tabs>
          <w:tab w:val="left" w:pos="1853"/>
        </w:tabs>
        <w:kinsoku w:val="0"/>
        <w:overflowPunct w:val="0"/>
        <w:ind w:left="1852"/>
        <w:rPr>
          <w:color w:val="303030"/>
        </w:rPr>
      </w:pPr>
      <w:r>
        <w:rPr>
          <w:color w:val="303030"/>
        </w:rPr>
        <w:t>Literacy</w:t>
      </w:r>
    </w:p>
    <w:p w14:paraId="63E836FF" w14:textId="1D4564AA" w:rsidR="004A5764" w:rsidRDefault="00F63429">
      <w:pPr>
        <w:pStyle w:val="ListParagraph"/>
        <w:numPr>
          <w:ilvl w:val="2"/>
          <w:numId w:val="1"/>
        </w:numPr>
        <w:tabs>
          <w:tab w:val="left" w:pos="1853"/>
        </w:tabs>
        <w:kinsoku w:val="0"/>
        <w:overflowPunct w:val="0"/>
        <w:spacing w:line="242" w:lineRule="auto"/>
        <w:ind w:right="599" w:firstLine="0"/>
        <w:rPr>
          <w:color w:val="303030"/>
        </w:rPr>
      </w:pPr>
      <w:r>
        <w:rPr>
          <w:color w:val="303030"/>
        </w:rPr>
        <w:t>Educational Attainment (may be addressed through GED Preparation</w:t>
      </w:r>
      <w:r>
        <w:rPr>
          <w:color w:val="303030"/>
          <w:spacing w:val="-28"/>
        </w:rPr>
        <w:t xml:space="preserve"> </w:t>
      </w:r>
      <w:r>
        <w:rPr>
          <w:color w:val="303030"/>
        </w:rPr>
        <w:t xml:space="preserve">and </w:t>
      </w:r>
      <w:r w:rsidR="00FD49C8">
        <w:rPr>
          <w:color w:val="303030"/>
        </w:rPr>
        <w:t xml:space="preserve">           </w:t>
      </w:r>
      <w:r w:rsidR="007C115B">
        <w:rPr>
          <w:color w:val="303030"/>
        </w:rPr>
        <w:t xml:space="preserve">  </w:t>
      </w:r>
      <w:r w:rsidR="007C115B">
        <w:rPr>
          <w:color w:val="303030"/>
        </w:rPr>
        <w:tab/>
      </w:r>
      <w:r>
        <w:rPr>
          <w:color w:val="303030"/>
        </w:rPr>
        <w:t>Adult Basic</w:t>
      </w:r>
      <w:r>
        <w:rPr>
          <w:color w:val="303030"/>
          <w:spacing w:val="1"/>
        </w:rPr>
        <w:t xml:space="preserve"> </w:t>
      </w:r>
      <w:r>
        <w:rPr>
          <w:color w:val="303030"/>
        </w:rPr>
        <w:t>Education)</w:t>
      </w:r>
    </w:p>
    <w:p w14:paraId="5E92AF60" w14:textId="77777777" w:rsidR="004A5764" w:rsidRDefault="00F63429">
      <w:pPr>
        <w:pStyle w:val="ListParagraph"/>
        <w:numPr>
          <w:ilvl w:val="2"/>
          <w:numId w:val="1"/>
        </w:numPr>
        <w:tabs>
          <w:tab w:val="left" w:pos="1906"/>
        </w:tabs>
        <w:kinsoku w:val="0"/>
        <w:overflowPunct w:val="0"/>
        <w:spacing w:line="289" w:lineRule="exact"/>
        <w:ind w:left="1905" w:hanging="346"/>
        <w:rPr>
          <w:color w:val="303030"/>
        </w:rPr>
      </w:pPr>
      <w:r>
        <w:rPr>
          <w:color w:val="000000"/>
        </w:rPr>
        <w:t>Technology</w:t>
      </w:r>
      <w:r>
        <w:rPr>
          <w:color w:val="000000"/>
          <w:spacing w:val="-1"/>
        </w:rPr>
        <w:t xml:space="preserve"> </w:t>
      </w:r>
      <w:r>
        <w:rPr>
          <w:color w:val="303030"/>
        </w:rPr>
        <w:t>Familiarity</w:t>
      </w:r>
    </w:p>
    <w:p w14:paraId="3C5ECE71" w14:textId="77777777" w:rsidR="004A5764" w:rsidRDefault="00F63429">
      <w:pPr>
        <w:pStyle w:val="ListParagraph"/>
        <w:numPr>
          <w:ilvl w:val="2"/>
          <w:numId w:val="1"/>
        </w:numPr>
        <w:tabs>
          <w:tab w:val="left" w:pos="1853"/>
        </w:tabs>
        <w:kinsoku w:val="0"/>
        <w:overflowPunct w:val="0"/>
        <w:ind w:left="1852" w:hanging="294"/>
        <w:rPr>
          <w:color w:val="000000"/>
        </w:rPr>
      </w:pPr>
      <w:r>
        <w:rPr>
          <w:color w:val="000000"/>
        </w:rPr>
        <w:t>Communication</w:t>
      </w:r>
      <w:r>
        <w:rPr>
          <w:color w:val="000000"/>
          <w:spacing w:val="-5"/>
        </w:rPr>
        <w:t xml:space="preserve"> </w:t>
      </w:r>
      <w:r>
        <w:rPr>
          <w:color w:val="000000"/>
        </w:rPr>
        <w:t>Skills</w:t>
      </w:r>
    </w:p>
    <w:p w14:paraId="757BB66A" w14:textId="5095706B" w:rsidR="004A5764" w:rsidRDefault="00F63429" w:rsidP="00FD49C8">
      <w:pPr>
        <w:pStyle w:val="ListParagraph"/>
        <w:numPr>
          <w:ilvl w:val="2"/>
          <w:numId w:val="1"/>
        </w:numPr>
        <w:tabs>
          <w:tab w:val="left" w:pos="1853"/>
        </w:tabs>
        <w:kinsoku w:val="0"/>
        <w:overflowPunct w:val="0"/>
        <w:ind w:left="1852" w:hanging="294"/>
      </w:pPr>
      <w:r w:rsidRPr="00FD49C8">
        <w:rPr>
          <w:color w:val="000000"/>
        </w:rPr>
        <w:t>Workforce</w:t>
      </w:r>
      <w:r w:rsidRPr="00FD49C8">
        <w:rPr>
          <w:color w:val="000000"/>
          <w:spacing w:val="-7"/>
        </w:rPr>
        <w:t xml:space="preserve"> </w:t>
      </w:r>
      <w:r w:rsidRPr="00FD49C8">
        <w:rPr>
          <w:color w:val="000000"/>
        </w:rPr>
        <w:t>Readiness</w:t>
      </w:r>
    </w:p>
    <w:p w14:paraId="2611EEBB" w14:textId="77777777" w:rsidR="004A5764" w:rsidRDefault="004A5764">
      <w:pPr>
        <w:pStyle w:val="BodyText"/>
        <w:kinsoku w:val="0"/>
        <w:overflowPunct w:val="0"/>
        <w:spacing w:before="11"/>
        <w:rPr>
          <w:sz w:val="23"/>
          <w:szCs w:val="23"/>
        </w:rPr>
      </w:pPr>
    </w:p>
    <w:p w14:paraId="0D960E92" w14:textId="77777777" w:rsidR="00FD49C8" w:rsidRDefault="00FD49C8" w:rsidP="00FD49C8">
      <w:pPr>
        <w:numPr>
          <w:ilvl w:val="0"/>
          <w:numId w:val="1"/>
        </w:numPr>
        <w:spacing w:after="240"/>
        <w:textAlignment w:val="baseline"/>
        <w:rPr>
          <w:sz w:val="24"/>
          <w:szCs w:val="24"/>
        </w:rPr>
      </w:pPr>
      <w:r w:rsidRPr="631EBF11">
        <w:rPr>
          <w:b/>
          <w:sz w:val="24"/>
          <w:szCs w:val="24"/>
        </w:rPr>
        <w:t>Equal Opportunity and Nondiscrimination Statement</w:t>
      </w:r>
      <w:r w:rsidRPr="631EBF11">
        <w:rPr>
          <w:sz w:val="24"/>
          <w:szCs w:val="24"/>
        </w:rPr>
        <w:t>: All recipients, and subrecipients/subgrantees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r>
        <w:rPr>
          <w:sz w:val="24"/>
          <w:szCs w:val="24"/>
        </w:rPr>
        <w:t xml:space="preserve">  </w:t>
      </w:r>
    </w:p>
    <w:p w14:paraId="19D2A862" w14:textId="4C58D1C4" w:rsidR="004A5764" w:rsidRPr="007C115B" w:rsidRDefault="00F63429" w:rsidP="00FD49C8">
      <w:pPr>
        <w:numPr>
          <w:ilvl w:val="0"/>
          <w:numId w:val="1"/>
        </w:numPr>
        <w:kinsoku w:val="0"/>
        <w:overflowPunct w:val="0"/>
        <w:spacing w:before="12" w:after="240" w:line="259" w:lineRule="auto"/>
        <w:ind w:left="119" w:right="303"/>
        <w:textAlignment w:val="baseline"/>
        <w:rPr>
          <w:sz w:val="24"/>
          <w:szCs w:val="24"/>
        </w:rPr>
      </w:pPr>
      <w:r w:rsidRPr="007C115B">
        <w:rPr>
          <w:b/>
          <w:bCs/>
          <w:color w:val="000000"/>
          <w:sz w:val="24"/>
          <w:szCs w:val="24"/>
        </w:rPr>
        <w:t>Action</w:t>
      </w:r>
      <w:r w:rsidR="00FD49C8" w:rsidRPr="007C115B">
        <w:rPr>
          <w:b/>
          <w:bCs/>
          <w:color w:val="000000"/>
          <w:sz w:val="24"/>
          <w:szCs w:val="24"/>
        </w:rPr>
        <w:t xml:space="preserve">:  </w:t>
      </w:r>
      <w:r w:rsidRPr="007C115B">
        <w:rPr>
          <w:sz w:val="24"/>
          <w:szCs w:val="24"/>
        </w:rPr>
        <w:t xml:space="preserve">The Executive Director is responsible for compliance of this policy. The Executive Director is responsible for annual review and revisions if needed. Any exceptions to this policy statement will require prior written approval from the Executive Director and/or chair of the </w:t>
      </w:r>
      <w:r w:rsidR="007C115B">
        <w:rPr>
          <w:sz w:val="24"/>
          <w:szCs w:val="24"/>
        </w:rPr>
        <w:t>Green Country</w:t>
      </w:r>
      <w:r w:rsidRPr="007C115B">
        <w:rPr>
          <w:sz w:val="24"/>
          <w:szCs w:val="24"/>
        </w:rPr>
        <w:t xml:space="preserve"> Workforce Development Board.</w:t>
      </w:r>
    </w:p>
    <w:p w14:paraId="0BD6455E" w14:textId="2C5DA39F" w:rsidR="00FD49C8" w:rsidRPr="00FD49C8" w:rsidRDefault="00F63429" w:rsidP="00FD49C8">
      <w:pPr>
        <w:pStyle w:val="BodyText"/>
        <w:kinsoku w:val="0"/>
        <w:overflowPunct w:val="0"/>
        <w:spacing w:before="160"/>
        <w:ind w:left="119"/>
      </w:pPr>
      <w:r>
        <w:t xml:space="preserve">This policy will be effective immediately upon approval of the </w:t>
      </w:r>
      <w:r w:rsidR="007C115B">
        <w:t>GC</w:t>
      </w:r>
      <w:r>
        <w:t>WDB membership.</w:t>
      </w:r>
    </w:p>
    <w:p w14:paraId="309EAC54" w14:textId="77777777" w:rsidR="004A5764" w:rsidRDefault="004A5764">
      <w:pPr>
        <w:pStyle w:val="BodyText"/>
        <w:kinsoku w:val="0"/>
        <w:overflowPunct w:val="0"/>
        <w:rPr>
          <w:sz w:val="20"/>
          <w:szCs w:val="20"/>
        </w:rPr>
      </w:pPr>
    </w:p>
    <w:p w14:paraId="5245ED54" w14:textId="77777777" w:rsidR="004A5764" w:rsidRDefault="004A5764">
      <w:pPr>
        <w:pStyle w:val="BodyText"/>
        <w:kinsoku w:val="0"/>
        <w:overflowPunct w:val="0"/>
        <w:rPr>
          <w:sz w:val="20"/>
          <w:szCs w:val="20"/>
        </w:rPr>
      </w:pPr>
    </w:p>
    <w:p w14:paraId="5FAE8F0C" w14:textId="77777777" w:rsidR="004A5764" w:rsidRDefault="004A5764">
      <w:pPr>
        <w:pStyle w:val="BodyText"/>
        <w:kinsoku w:val="0"/>
        <w:overflowPunct w:val="0"/>
        <w:rPr>
          <w:sz w:val="20"/>
          <w:szCs w:val="20"/>
        </w:rPr>
      </w:pPr>
    </w:p>
    <w:p w14:paraId="46B2AFE7" w14:textId="77777777" w:rsidR="004A5764" w:rsidRDefault="004A5764">
      <w:pPr>
        <w:pStyle w:val="BodyText"/>
        <w:kinsoku w:val="0"/>
        <w:overflowPunct w:val="0"/>
        <w:rPr>
          <w:sz w:val="20"/>
          <w:szCs w:val="20"/>
        </w:rPr>
      </w:pPr>
    </w:p>
    <w:p w14:paraId="50130403" w14:textId="77777777" w:rsidR="004A5764" w:rsidRDefault="004A5764">
      <w:pPr>
        <w:pStyle w:val="BodyText"/>
        <w:kinsoku w:val="0"/>
        <w:overflowPunct w:val="0"/>
        <w:rPr>
          <w:sz w:val="20"/>
          <w:szCs w:val="20"/>
        </w:rPr>
      </w:pPr>
    </w:p>
    <w:p w14:paraId="048DD1CB" w14:textId="77777777" w:rsidR="004A5764" w:rsidRDefault="00CC7116">
      <w:pPr>
        <w:pStyle w:val="BodyText"/>
        <w:kinsoku w:val="0"/>
        <w:overflowPunct w:val="0"/>
        <w:spacing w:before="6"/>
        <w:rPr>
          <w:sz w:val="10"/>
          <w:szCs w:val="10"/>
        </w:rPr>
      </w:pPr>
      <w:r>
        <w:rPr>
          <w:noProof/>
        </w:rPr>
        <w:pict w14:anchorId="18CBDD07">
          <v:shape id="_x0000_s1029" style="position:absolute;margin-left:252pt;margin-top:8.75pt;width:269pt;height:0;z-index:1;mso-wrap-distance-left:0;mso-wrap-distance-right:0;mso-position-horizontal-relative:page;mso-position-vertical-relative:text" coordsize="5381,20" o:allowincell="f" path="m,l5381,e" filled="f" strokeweight=".27489mm">
            <v:path arrowok="t"/>
            <w10:wrap type="topAndBottom" anchorx="page"/>
          </v:shape>
        </w:pict>
      </w:r>
    </w:p>
    <w:p w14:paraId="4FB5FF09" w14:textId="77777777" w:rsidR="004A5764" w:rsidRDefault="004A5764">
      <w:pPr>
        <w:pStyle w:val="BodyText"/>
        <w:kinsoku w:val="0"/>
        <w:overflowPunct w:val="0"/>
        <w:spacing w:before="1"/>
        <w:rPr>
          <w:sz w:val="10"/>
          <w:szCs w:val="10"/>
        </w:rPr>
      </w:pPr>
    </w:p>
    <w:p w14:paraId="1405CF25" w14:textId="477D1C89" w:rsidR="004A5764" w:rsidRDefault="00F63429">
      <w:pPr>
        <w:pStyle w:val="BodyText"/>
        <w:kinsoku w:val="0"/>
        <w:overflowPunct w:val="0"/>
        <w:spacing w:before="51"/>
        <w:ind w:left="3720"/>
      </w:pPr>
      <w:r>
        <w:t xml:space="preserve">Chair, </w:t>
      </w:r>
      <w:r w:rsidR="007C115B">
        <w:t>Green Country</w:t>
      </w:r>
      <w:r>
        <w:t xml:space="preserve"> Workforce Development Board / Date</w:t>
      </w:r>
    </w:p>
    <w:p w14:paraId="3DE86DDF" w14:textId="74278CE8" w:rsidR="004A5764" w:rsidRDefault="00F63429">
      <w:pPr>
        <w:pStyle w:val="BodyText"/>
        <w:kinsoku w:val="0"/>
        <w:overflowPunct w:val="0"/>
        <w:spacing w:before="183"/>
        <w:ind w:left="120"/>
      </w:pPr>
      <w:r>
        <w:t xml:space="preserve">Attachment: PY </w:t>
      </w:r>
      <w:r w:rsidR="00FD49C8">
        <w:t>21</w:t>
      </w:r>
      <w:r>
        <w:t>- 2</w:t>
      </w:r>
      <w:r w:rsidR="00FD49C8">
        <w:t>2</w:t>
      </w:r>
      <w:r>
        <w:t xml:space="preserve"> Demand Occupations List</w:t>
      </w:r>
    </w:p>
    <w:sectPr w:rsidR="004A5764">
      <w:pgSz w:w="12240" w:h="15840"/>
      <w:pgMar w:top="2080" w:right="1320" w:bottom="2620" w:left="1320" w:header="994" w:footer="24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43C6" w14:textId="77777777" w:rsidR="00CC7116" w:rsidRDefault="00CC7116">
      <w:r>
        <w:separator/>
      </w:r>
    </w:p>
  </w:endnote>
  <w:endnote w:type="continuationSeparator" w:id="0">
    <w:p w14:paraId="04D0A8EF" w14:textId="77777777" w:rsidR="00CC7116" w:rsidRDefault="00CC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8393" w14:textId="77777777" w:rsidR="004A5764" w:rsidRDefault="00CC7116">
    <w:pPr>
      <w:pStyle w:val="BodyText"/>
      <w:kinsoku w:val="0"/>
      <w:overflowPunct w:val="0"/>
      <w:spacing w:line="14" w:lineRule="auto"/>
      <w:rPr>
        <w:rFonts w:ascii="Times New Roman" w:hAnsi="Times New Roman" w:cs="Times New Roman"/>
        <w:sz w:val="20"/>
        <w:szCs w:val="20"/>
      </w:rPr>
    </w:pPr>
    <w:r>
      <w:rPr>
        <w:noProof/>
      </w:rPr>
      <w:pict w14:anchorId="25F4576E">
        <v:rect id="_x0000_s2050" style="position:absolute;margin-left:216.5pt;margin-top:717.05pt;width:179pt;height:12pt;z-index:-2;mso-position-horizontal-relative:page;mso-position-vertical-relative:page" o:allowincell="f" filled="f" stroked="f">
          <v:textbox inset="0,0,0,0">
            <w:txbxContent>
              <w:p w14:paraId="0504F0AE" w14:textId="77777777" w:rsidR="004A5764" w:rsidRDefault="00CC7116">
                <w:pPr>
                  <w:widowControl/>
                  <w:autoSpaceDE/>
                  <w:autoSpaceDN/>
                  <w:adjustRightInd/>
                  <w:spacing w:line="240" w:lineRule="atLeast"/>
                  <w:rPr>
                    <w:rFonts w:ascii="Times New Roman" w:hAnsi="Times New Roman" w:cs="Times New Roman"/>
                    <w:sz w:val="24"/>
                    <w:szCs w:val="24"/>
                  </w:rPr>
                </w:pPr>
                <w:r>
                  <w:rPr>
                    <w:rFonts w:ascii="Times New Roman" w:hAnsi="Times New Roman" w:cs="Times New Roman"/>
                  </w:rPr>
                  <w:pict w14:anchorId="737CE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8.8pt;height:12pt">
                      <v:imagedata r:id="rId1" o:title=""/>
                    </v:shape>
                  </w:pict>
                </w:r>
              </w:p>
              <w:p w14:paraId="2991FDA8" w14:textId="77777777" w:rsidR="004A5764" w:rsidRDefault="004A5764">
                <w:pPr>
                  <w:rPr>
                    <w:rFonts w:ascii="Times New Roman" w:hAnsi="Times New Roman" w:cs="Times New Roman"/>
                    <w:sz w:val="24"/>
                    <w:szCs w:val="24"/>
                  </w:rPr>
                </w:pPr>
              </w:p>
            </w:txbxContent>
          </v:textbox>
          <w10:wrap anchorx="page" anchory="page"/>
        </v:rect>
      </w:pict>
    </w:r>
    <w:r>
      <w:rPr>
        <w:noProof/>
      </w:rPr>
      <w:pict w14:anchorId="29CAEC3B">
        <v:shapetype id="_x0000_t202" coordsize="21600,21600" o:spt="202" path="m,l,21600r21600,l21600,xe">
          <v:stroke joinstyle="miter"/>
          <v:path gradientshapeok="t" o:connecttype="rect"/>
        </v:shapetype>
        <v:shape id="_x0000_s2051" type="#_x0000_t202" style="position:absolute;margin-left:71pt;margin-top:658.95pt;width:469.95pt;height:49.2pt;z-index:-1;mso-position-horizontal-relative:page;mso-position-vertical-relative:page" o:allowincell="f" filled="f" stroked="f">
          <v:textbox inset="0,0,0,0">
            <w:txbxContent>
              <w:p w14:paraId="4973A4E5" w14:textId="77777777" w:rsidR="004A5764" w:rsidRDefault="00F63429">
                <w:pPr>
                  <w:pStyle w:val="BodyText"/>
                  <w:kinsoku w:val="0"/>
                  <w:overflowPunct w:val="0"/>
                  <w:spacing w:line="183" w:lineRule="exact"/>
                  <w:ind w:left="20"/>
                  <w:jc w:val="both"/>
                  <w:rPr>
                    <w:sz w:val="16"/>
                    <w:szCs w:val="16"/>
                  </w:rPr>
                </w:pPr>
                <w:r>
                  <w:rPr>
                    <w:sz w:val="16"/>
                    <w:szCs w:val="16"/>
                  </w:rPr>
                  <w:t>EQUAL OPPORTUNITY AND NONDISCRIMINATION: All providers must comply with WIOA’s Equal Opportunity and Nondiscrimination provisions</w:t>
                </w:r>
              </w:p>
              <w:p w14:paraId="7489AFE4" w14:textId="77777777" w:rsidR="004A5764" w:rsidRDefault="00F63429">
                <w:pPr>
                  <w:pStyle w:val="BodyText"/>
                  <w:kinsoku w:val="0"/>
                  <w:overflowPunct w:val="0"/>
                  <w:ind w:left="20" w:right="18"/>
                  <w:jc w:val="both"/>
                  <w:rPr>
                    <w:sz w:val="16"/>
                    <w:szCs w:val="16"/>
                  </w:rPr>
                </w:pPr>
                <w:r>
                  <w:rPr>
                    <w:sz w:val="16"/>
                    <w:szCs w:val="16"/>
                  </w:rPr>
                  <w:t>which</w:t>
                </w:r>
                <w:r>
                  <w:rPr>
                    <w:spacing w:val="-11"/>
                    <w:sz w:val="16"/>
                    <w:szCs w:val="16"/>
                  </w:rPr>
                  <w:t xml:space="preserve"> </w:t>
                </w:r>
                <w:r>
                  <w:rPr>
                    <w:sz w:val="16"/>
                    <w:szCs w:val="16"/>
                  </w:rPr>
                  <w:t>prohibit</w:t>
                </w:r>
                <w:r>
                  <w:rPr>
                    <w:spacing w:val="-12"/>
                    <w:sz w:val="16"/>
                    <w:szCs w:val="16"/>
                  </w:rPr>
                  <w:t xml:space="preserve"> </w:t>
                </w:r>
                <w:r>
                  <w:rPr>
                    <w:sz w:val="16"/>
                    <w:szCs w:val="16"/>
                  </w:rPr>
                  <w:t>discrimination</w:t>
                </w:r>
                <w:r>
                  <w:rPr>
                    <w:spacing w:val="-10"/>
                    <w:sz w:val="16"/>
                    <w:szCs w:val="16"/>
                  </w:rPr>
                  <w:t xml:space="preserve"> </w:t>
                </w:r>
                <w:r>
                  <w:rPr>
                    <w:sz w:val="16"/>
                    <w:szCs w:val="16"/>
                  </w:rPr>
                  <w:t>on</w:t>
                </w:r>
                <w:r>
                  <w:rPr>
                    <w:spacing w:val="-11"/>
                    <w:sz w:val="16"/>
                    <w:szCs w:val="16"/>
                  </w:rPr>
                  <w:t xml:space="preserve"> </w:t>
                </w:r>
                <w:r>
                  <w:rPr>
                    <w:sz w:val="16"/>
                    <w:szCs w:val="16"/>
                  </w:rPr>
                  <w:t>the</w:t>
                </w:r>
                <w:r>
                  <w:rPr>
                    <w:spacing w:val="-12"/>
                    <w:sz w:val="16"/>
                    <w:szCs w:val="16"/>
                  </w:rPr>
                  <w:t xml:space="preserve"> </w:t>
                </w:r>
                <w:r>
                  <w:rPr>
                    <w:sz w:val="16"/>
                    <w:szCs w:val="16"/>
                  </w:rPr>
                  <w:t>basis</w:t>
                </w:r>
                <w:r>
                  <w:rPr>
                    <w:spacing w:val="-11"/>
                    <w:sz w:val="16"/>
                    <w:szCs w:val="16"/>
                  </w:rPr>
                  <w:t xml:space="preserve"> </w:t>
                </w:r>
                <w:r>
                  <w:rPr>
                    <w:sz w:val="16"/>
                    <w:szCs w:val="16"/>
                  </w:rPr>
                  <w:t>of</w:t>
                </w:r>
                <w:r>
                  <w:rPr>
                    <w:spacing w:val="-11"/>
                    <w:sz w:val="16"/>
                    <w:szCs w:val="16"/>
                  </w:rPr>
                  <w:t xml:space="preserve"> </w:t>
                </w:r>
                <w:r>
                  <w:rPr>
                    <w:sz w:val="16"/>
                    <w:szCs w:val="16"/>
                  </w:rPr>
                  <w:t>race,</w:t>
                </w:r>
                <w:r>
                  <w:rPr>
                    <w:spacing w:val="-10"/>
                    <w:sz w:val="16"/>
                    <w:szCs w:val="16"/>
                  </w:rPr>
                  <w:t xml:space="preserve"> </w:t>
                </w:r>
                <w:r>
                  <w:rPr>
                    <w:sz w:val="16"/>
                    <w:szCs w:val="16"/>
                  </w:rPr>
                  <w:t>color,</w:t>
                </w:r>
                <w:r>
                  <w:rPr>
                    <w:spacing w:val="-10"/>
                    <w:sz w:val="16"/>
                    <w:szCs w:val="16"/>
                  </w:rPr>
                  <w:t xml:space="preserve"> </w:t>
                </w:r>
                <w:r>
                  <w:rPr>
                    <w:sz w:val="16"/>
                    <w:szCs w:val="16"/>
                  </w:rPr>
                  <w:t>religion,</w:t>
                </w:r>
                <w:r>
                  <w:rPr>
                    <w:spacing w:val="-10"/>
                    <w:sz w:val="16"/>
                    <w:szCs w:val="16"/>
                  </w:rPr>
                  <w:t xml:space="preserve"> </w:t>
                </w:r>
                <w:r>
                  <w:rPr>
                    <w:sz w:val="16"/>
                    <w:szCs w:val="16"/>
                  </w:rPr>
                  <w:t>sex</w:t>
                </w:r>
                <w:r>
                  <w:rPr>
                    <w:spacing w:val="-10"/>
                    <w:sz w:val="16"/>
                    <w:szCs w:val="16"/>
                  </w:rPr>
                  <w:t xml:space="preserve"> </w:t>
                </w:r>
                <w:r>
                  <w:rPr>
                    <w:sz w:val="16"/>
                    <w:szCs w:val="16"/>
                  </w:rPr>
                  <w:t>(including</w:t>
                </w:r>
                <w:r>
                  <w:rPr>
                    <w:spacing w:val="-10"/>
                    <w:sz w:val="16"/>
                    <w:szCs w:val="16"/>
                  </w:rPr>
                  <w:t xml:space="preserve"> </w:t>
                </w:r>
                <w:r>
                  <w:rPr>
                    <w:sz w:val="16"/>
                    <w:szCs w:val="16"/>
                  </w:rPr>
                  <w:t>pregnancy,</w:t>
                </w:r>
                <w:r>
                  <w:rPr>
                    <w:spacing w:val="-10"/>
                    <w:sz w:val="16"/>
                    <w:szCs w:val="16"/>
                  </w:rPr>
                  <w:t xml:space="preserve"> </w:t>
                </w:r>
                <w:r>
                  <w:rPr>
                    <w:sz w:val="16"/>
                    <w:szCs w:val="16"/>
                  </w:rPr>
                  <w:t>childbirth,</w:t>
                </w:r>
                <w:r>
                  <w:rPr>
                    <w:spacing w:val="-10"/>
                    <w:sz w:val="16"/>
                    <w:szCs w:val="16"/>
                  </w:rPr>
                  <w:t xml:space="preserve"> </w:t>
                </w:r>
                <w:r>
                  <w:rPr>
                    <w:sz w:val="16"/>
                    <w:szCs w:val="16"/>
                  </w:rPr>
                  <w:t>and</w:t>
                </w:r>
                <w:r>
                  <w:rPr>
                    <w:spacing w:val="-10"/>
                    <w:sz w:val="16"/>
                    <w:szCs w:val="16"/>
                  </w:rPr>
                  <w:t xml:space="preserve"> </w:t>
                </w:r>
                <w:r>
                  <w:rPr>
                    <w:sz w:val="16"/>
                    <w:szCs w:val="16"/>
                  </w:rPr>
                  <w:t>related</w:t>
                </w:r>
                <w:r>
                  <w:rPr>
                    <w:spacing w:val="-11"/>
                    <w:sz w:val="16"/>
                    <w:szCs w:val="16"/>
                  </w:rPr>
                  <w:t xml:space="preserve"> </w:t>
                </w:r>
                <w:r>
                  <w:rPr>
                    <w:sz w:val="16"/>
                    <w:szCs w:val="16"/>
                  </w:rPr>
                  <w:t>medical</w:t>
                </w:r>
                <w:r>
                  <w:rPr>
                    <w:spacing w:val="-12"/>
                    <w:sz w:val="16"/>
                    <w:szCs w:val="16"/>
                  </w:rPr>
                  <w:t xml:space="preserve"> </w:t>
                </w:r>
                <w:r>
                  <w:rPr>
                    <w:sz w:val="16"/>
                    <w:szCs w:val="16"/>
                  </w:rPr>
                  <w:t>conditions,</w:t>
                </w:r>
                <w:r>
                  <w:rPr>
                    <w:spacing w:val="-9"/>
                    <w:sz w:val="16"/>
                    <w:szCs w:val="16"/>
                  </w:rPr>
                  <w:t xml:space="preserve"> </w:t>
                </w:r>
                <w:r>
                  <w:rPr>
                    <w:sz w:val="16"/>
                    <w:szCs w:val="16"/>
                  </w:rPr>
                  <w:t>transgender status,</w:t>
                </w:r>
                <w:r>
                  <w:rPr>
                    <w:spacing w:val="-8"/>
                    <w:sz w:val="16"/>
                    <w:szCs w:val="16"/>
                  </w:rPr>
                  <w:t xml:space="preserve"> </w:t>
                </w:r>
                <w:r>
                  <w:rPr>
                    <w:sz w:val="16"/>
                    <w:szCs w:val="16"/>
                  </w:rPr>
                  <w:t>and</w:t>
                </w:r>
                <w:r>
                  <w:rPr>
                    <w:spacing w:val="-8"/>
                    <w:sz w:val="16"/>
                    <w:szCs w:val="16"/>
                  </w:rPr>
                  <w:t xml:space="preserve"> </w:t>
                </w:r>
                <w:r>
                  <w:rPr>
                    <w:sz w:val="16"/>
                    <w:szCs w:val="16"/>
                  </w:rPr>
                  <w:t>gender</w:t>
                </w:r>
                <w:r>
                  <w:rPr>
                    <w:spacing w:val="-9"/>
                    <w:sz w:val="16"/>
                    <w:szCs w:val="16"/>
                  </w:rPr>
                  <w:t xml:space="preserve"> </w:t>
                </w:r>
                <w:r>
                  <w:rPr>
                    <w:sz w:val="16"/>
                    <w:szCs w:val="16"/>
                  </w:rPr>
                  <w:t>identity),</w:t>
                </w:r>
                <w:r>
                  <w:rPr>
                    <w:spacing w:val="-7"/>
                    <w:sz w:val="16"/>
                    <w:szCs w:val="16"/>
                  </w:rPr>
                  <w:t xml:space="preserve"> </w:t>
                </w:r>
                <w:r>
                  <w:rPr>
                    <w:sz w:val="16"/>
                    <w:szCs w:val="16"/>
                  </w:rPr>
                  <w:t>national</w:t>
                </w:r>
                <w:r>
                  <w:rPr>
                    <w:spacing w:val="-7"/>
                    <w:sz w:val="16"/>
                    <w:szCs w:val="16"/>
                  </w:rPr>
                  <w:t xml:space="preserve"> </w:t>
                </w:r>
                <w:r>
                  <w:rPr>
                    <w:sz w:val="16"/>
                    <w:szCs w:val="16"/>
                  </w:rPr>
                  <w:t>origin</w:t>
                </w:r>
                <w:r>
                  <w:rPr>
                    <w:spacing w:val="-9"/>
                    <w:sz w:val="16"/>
                    <w:szCs w:val="16"/>
                  </w:rPr>
                  <w:t xml:space="preserve"> </w:t>
                </w:r>
                <w:r>
                  <w:rPr>
                    <w:sz w:val="16"/>
                    <w:szCs w:val="16"/>
                  </w:rPr>
                  <w:t>(including</w:t>
                </w:r>
                <w:r>
                  <w:rPr>
                    <w:spacing w:val="-6"/>
                    <w:sz w:val="16"/>
                    <w:szCs w:val="16"/>
                  </w:rPr>
                  <w:t xml:space="preserve"> </w:t>
                </w:r>
                <w:r>
                  <w:rPr>
                    <w:sz w:val="16"/>
                    <w:szCs w:val="16"/>
                  </w:rPr>
                  <w:t>limited</w:t>
                </w:r>
                <w:r>
                  <w:rPr>
                    <w:spacing w:val="-7"/>
                    <w:sz w:val="16"/>
                    <w:szCs w:val="16"/>
                  </w:rPr>
                  <w:t xml:space="preserve"> </w:t>
                </w:r>
                <w:r>
                  <w:rPr>
                    <w:sz w:val="16"/>
                    <w:szCs w:val="16"/>
                  </w:rPr>
                  <w:t>English</w:t>
                </w:r>
                <w:r>
                  <w:rPr>
                    <w:spacing w:val="-8"/>
                    <w:sz w:val="16"/>
                    <w:szCs w:val="16"/>
                  </w:rPr>
                  <w:t xml:space="preserve"> </w:t>
                </w:r>
                <w:r>
                  <w:rPr>
                    <w:sz w:val="16"/>
                    <w:szCs w:val="16"/>
                  </w:rPr>
                  <w:t>proficiency),</w:t>
                </w:r>
                <w:r>
                  <w:rPr>
                    <w:spacing w:val="-8"/>
                    <w:sz w:val="16"/>
                    <w:szCs w:val="16"/>
                  </w:rPr>
                  <w:t xml:space="preserve"> </w:t>
                </w:r>
                <w:r>
                  <w:rPr>
                    <w:sz w:val="16"/>
                    <w:szCs w:val="16"/>
                  </w:rPr>
                  <w:t>age,</w:t>
                </w:r>
                <w:r>
                  <w:rPr>
                    <w:spacing w:val="-7"/>
                    <w:sz w:val="16"/>
                    <w:szCs w:val="16"/>
                  </w:rPr>
                  <w:t xml:space="preserve"> </w:t>
                </w:r>
                <w:r>
                  <w:rPr>
                    <w:sz w:val="16"/>
                    <w:szCs w:val="16"/>
                  </w:rPr>
                  <w:t>disability,</w:t>
                </w:r>
                <w:r>
                  <w:rPr>
                    <w:spacing w:val="-8"/>
                    <w:sz w:val="16"/>
                    <w:szCs w:val="16"/>
                  </w:rPr>
                  <w:t xml:space="preserve"> </w:t>
                </w:r>
                <w:r>
                  <w:rPr>
                    <w:sz w:val="16"/>
                    <w:szCs w:val="16"/>
                  </w:rPr>
                  <w:t>political</w:t>
                </w:r>
                <w:r>
                  <w:rPr>
                    <w:spacing w:val="-8"/>
                    <w:sz w:val="16"/>
                    <w:szCs w:val="16"/>
                  </w:rPr>
                  <w:t xml:space="preserve"> </w:t>
                </w:r>
                <w:r>
                  <w:rPr>
                    <w:sz w:val="16"/>
                    <w:szCs w:val="16"/>
                  </w:rPr>
                  <w:t>affiliation</w:t>
                </w:r>
                <w:r>
                  <w:rPr>
                    <w:spacing w:val="-9"/>
                    <w:sz w:val="16"/>
                    <w:szCs w:val="16"/>
                  </w:rPr>
                  <w:t xml:space="preserve"> </w:t>
                </w:r>
                <w:r>
                  <w:rPr>
                    <w:sz w:val="16"/>
                    <w:szCs w:val="16"/>
                  </w:rPr>
                  <w:t>or</w:t>
                </w:r>
                <w:r>
                  <w:rPr>
                    <w:spacing w:val="-8"/>
                    <w:sz w:val="16"/>
                    <w:szCs w:val="16"/>
                  </w:rPr>
                  <w:t xml:space="preserve"> </w:t>
                </w:r>
                <w:r>
                  <w:rPr>
                    <w:sz w:val="16"/>
                    <w:szCs w:val="16"/>
                  </w:rPr>
                  <w:t>belief,</w:t>
                </w:r>
                <w:r>
                  <w:rPr>
                    <w:spacing w:val="-8"/>
                    <w:sz w:val="16"/>
                    <w:szCs w:val="16"/>
                  </w:rPr>
                  <w:t xml:space="preserve"> </w:t>
                </w:r>
                <w:r>
                  <w:rPr>
                    <w:sz w:val="16"/>
                    <w:szCs w:val="16"/>
                  </w:rPr>
                  <w:t>or,</w:t>
                </w:r>
                <w:r>
                  <w:rPr>
                    <w:spacing w:val="-7"/>
                    <w:sz w:val="16"/>
                    <w:szCs w:val="16"/>
                  </w:rPr>
                  <w:t xml:space="preserve"> </w:t>
                </w:r>
                <w:r>
                  <w:rPr>
                    <w:sz w:val="16"/>
                    <w:szCs w:val="16"/>
                  </w:rPr>
                  <w:t>for</w:t>
                </w:r>
                <w:r>
                  <w:rPr>
                    <w:spacing w:val="-9"/>
                    <w:sz w:val="16"/>
                    <w:szCs w:val="16"/>
                  </w:rPr>
                  <w:t xml:space="preserve"> </w:t>
                </w:r>
                <w:r>
                  <w:rPr>
                    <w:sz w:val="16"/>
                    <w:szCs w:val="16"/>
                  </w:rPr>
                  <w:t>beneficiaries, applicants, and participants only, on the basis of citizenship status or participation in a WIOA Title-I financially assisted program or activity. Auxiliary aids and services are available upon request to individuals with</w:t>
                </w:r>
                <w:r>
                  <w:rPr>
                    <w:spacing w:val="-13"/>
                    <w:sz w:val="16"/>
                    <w:szCs w:val="16"/>
                  </w:rPr>
                  <w:t xml:space="preserve"> </w:t>
                </w:r>
                <w:r>
                  <w:rPr>
                    <w:sz w:val="16"/>
                    <w:szCs w:val="16"/>
                  </w:rPr>
                  <w:t>disabilities.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F0D3" w14:textId="77777777" w:rsidR="00CC7116" w:rsidRDefault="00CC7116">
      <w:r>
        <w:separator/>
      </w:r>
    </w:p>
  </w:footnote>
  <w:footnote w:type="continuationSeparator" w:id="0">
    <w:p w14:paraId="4EBCDB84" w14:textId="77777777" w:rsidR="00CC7116" w:rsidRDefault="00CC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2EC3" w14:textId="7234FCF2" w:rsidR="004A5764" w:rsidRDefault="00CC7116">
    <w:pPr>
      <w:pStyle w:val="BodyText"/>
      <w:kinsoku w:val="0"/>
      <w:overflowPunct w:val="0"/>
      <w:spacing w:line="14" w:lineRule="auto"/>
      <w:rPr>
        <w:rFonts w:ascii="Times New Roman" w:hAnsi="Times New Roman" w:cs="Times New Roman"/>
        <w:sz w:val="20"/>
        <w:szCs w:val="20"/>
      </w:rPr>
    </w:pPr>
    <w:r>
      <w:rPr>
        <w:noProof/>
      </w:rPr>
      <w:pict w14:anchorId="358AB952">
        <v:shapetype id="_x0000_t202" coordsize="21600,21600" o:spt="202" path="m,l,21600r21600,l21600,xe">
          <v:stroke joinstyle="miter"/>
          <v:path gradientshapeok="t" o:connecttype="rect"/>
        </v:shapetype>
        <v:shape id="_x0000_s2049" type="#_x0000_t202" style="position:absolute;margin-left:1in;margin-top:49.45pt;width:468.25pt;height:55.7pt;z-index:1;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035"/>
                  <w:gridCol w:w="1197"/>
                  <w:gridCol w:w="3117"/>
                </w:tblGrid>
                <w:tr w:rsidR="004A5764" w:rsidRPr="00251898" w14:paraId="1D35D0B2" w14:textId="77777777">
                  <w:trPr>
                    <w:trHeight w:val="268"/>
                  </w:trPr>
                  <w:tc>
                    <w:tcPr>
                      <w:tcW w:w="5035" w:type="dxa"/>
                      <w:tcBorders>
                        <w:top w:val="single" w:sz="4" w:space="0" w:color="000000"/>
                        <w:left w:val="single" w:sz="4" w:space="0" w:color="000000"/>
                        <w:bottom w:val="single" w:sz="4" w:space="0" w:color="000000"/>
                        <w:right w:val="single" w:sz="4" w:space="0" w:color="000000"/>
                      </w:tcBorders>
                    </w:tcPr>
                    <w:p w14:paraId="09B20F8E" w14:textId="77777777" w:rsidR="004A5764" w:rsidRPr="00251898" w:rsidRDefault="00F63429">
                      <w:pPr>
                        <w:pStyle w:val="TableParagraph"/>
                        <w:kinsoku w:val="0"/>
                        <w:overflowPunct w:val="0"/>
                        <w:rPr>
                          <w:b/>
                          <w:bCs/>
                          <w:sz w:val="22"/>
                          <w:szCs w:val="22"/>
                        </w:rPr>
                      </w:pPr>
                      <w:r w:rsidRPr="00251898">
                        <w:rPr>
                          <w:b/>
                          <w:bCs/>
                          <w:sz w:val="22"/>
                          <w:szCs w:val="22"/>
                        </w:rPr>
                        <w:t>Section-04 Training</w:t>
                      </w:r>
                    </w:p>
                  </w:tc>
                  <w:tc>
                    <w:tcPr>
                      <w:tcW w:w="1197" w:type="dxa"/>
                      <w:tcBorders>
                        <w:top w:val="single" w:sz="4" w:space="0" w:color="000000"/>
                        <w:left w:val="single" w:sz="4" w:space="0" w:color="000000"/>
                        <w:bottom w:val="single" w:sz="4" w:space="0" w:color="000000"/>
                        <w:right w:val="single" w:sz="4" w:space="0" w:color="000000"/>
                      </w:tcBorders>
                    </w:tcPr>
                    <w:p w14:paraId="0F0B7DA6" w14:textId="77777777" w:rsidR="004A5764" w:rsidRPr="00251898" w:rsidRDefault="00F63429">
                      <w:pPr>
                        <w:pStyle w:val="TableParagraph"/>
                        <w:kinsoku w:val="0"/>
                        <w:overflowPunct w:val="0"/>
                        <w:rPr>
                          <w:b/>
                          <w:bCs/>
                          <w:sz w:val="22"/>
                          <w:szCs w:val="22"/>
                        </w:rPr>
                      </w:pPr>
                      <w:r w:rsidRPr="00251898">
                        <w:rPr>
                          <w:b/>
                          <w:bCs/>
                          <w:sz w:val="22"/>
                          <w:szCs w:val="22"/>
                        </w:rPr>
                        <w:t>P-0400100</w:t>
                      </w:r>
                    </w:p>
                  </w:tc>
                  <w:tc>
                    <w:tcPr>
                      <w:tcW w:w="3117" w:type="dxa"/>
                      <w:tcBorders>
                        <w:top w:val="single" w:sz="4" w:space="0" w:color="000000"/>
                        <w:left w:val="single" w:sz="4" w:space="0" w:color="000000"/>
                        <w:bottom w:val="single" w:sz="4" w:space="0" w:color="000000"/>
                        <w:right w:val="single" w:sz="4" w:space="0" w:color="000000"/>
                      </w:tcBorders>
                    </w:tcPr>
                    <w:p w14:paraId="46E01296" w14:textId="5672FC72" w:rsidR="004A5764" w:rsidRPr="00251898" w:rsidRDefault="00F63429">
                      <w:pPr>
                        <w:pStyle w:val="TableParagraph"/>
                        <w:kinsoku w:val="0"/>
                        <w:overflowPunct w:val="0"/>
                        <w:ind w:left="108"/>
                        <w:rPr>
                          <w:b/>
                          <w:bCs/>
                          <w:sz w:val="22"/>
                          <w:szCs w:val="22"/>
                        </w:rPr>
                      </w:pPr>
                      <w:r w:rsidRPr="00251898">
                        <w:rPr>
                          <w:b/>
                          <w:bCs/>
                          <w:sz w:val="22"/>
                          <w:szCs w:val="22"/>
                        </w:rPr>
                        <w:t xml:space="preserve">Effective Date: </w:t>
                      </w:r>
                      <w:r w:rsidR="00825D1D">
                        <w:rPr>
                          <w:b/>
                          <w:bCs/>
                          <w:sz w:val="22"/>
                          <w:szCs w:val="22"/>
                        </w:rPr>
                        <w:t>04</w:t>
                      </w:r>
                      <w:r w:rsidRPr="00251898">
                        <w:rPr>
                          <w:b/>
                          <w:bCs/>
                          <w:sz w:val="22"/>
                          <w:szCs w:val="22"/>
                        </w:rPr>
                        <w:t>/</w:t>
                      </w:r>
                      <w:r w:rsidR="00825D1D">
                        <w:rPr>
                          <w:b/>
                          <w:bCs/>
                          <w:sz w:val="22"/>
                          <w:szCs w:val="22"/>
                        </w:rPr>
                        <w:t>15</w:t>
                      </w:r>
                      <w:r w:rsidRPr="00251898">
                        <w:rPr>
                          <w:b/>
                          <w:bCs/>
                          <w:sz w:val="22"/>
                          <w:szCs w:val="22"/>
                        </w:rPr>
                        <w:t>/202</w:t>
                      </w:r>
                      <w:r w:rsidR="00FD49C8" w:rsidRPr="00251898">
                        <w:rPr>
                          <w:b/>
                          <w:bCs/>
                          <w:sz w:val="22"/>
                          <w:szCs w:val="22"/>
                        </w:rPr>
                        <w:t>1</w:t>
                      </w:r>
                    </w:p>
                  </w:tc>
                </w:tr>
                <w:tr w:rsidR="004A5764" w:rsidRPr="00251898" w14:paraId="61BAF65B" w14:textId="77777777">
                  <w:trPr>
                    <w:trHeight w:val="537"/>
                  </w:trPr>
                  <w:tc>
                    <w:tcPr>
                      <w:tcW w:w="9349" w:type="dxa"/>
                      <w:gridSpan w:val="3"/>
                      <w:tcBorders>
                        <w:top w:val="single" w:sz="4" w:space="0" w:color="000000"/>
                        <w:left w:val="single" w:sz="4" w:space="0" w:color="000000"/>
                        <w:bottom w:val="single" w:sz="4" w:space="0" w:color="000000"/>
                        <w:right w:val="single" w:sz="4" w:space="0" w:color="000000"/>
                      </w:tcBorders>
                    </w:tcPr>
                    <w:p w14:paraId="06FC2821" w14:textId="77777777" w:rsidR="00FD49C8" w:rsidRPr="00251898" w:rsidRDefault="00FD49C8" w:rsidP="00FD49C8">
                      <w:pPr>
                        <w:pStyle w:val="TableParagraph"/>
                        <w:kinsoku w:val="0"/>
                        <w:overflowPunct w:val="0"/>
                        <w:spacing w:line="268" w:lineRule="exact"/>
                        <w:rPr>
                          <w:b/>
                          <w:bCs/>
                          <w:sz w:val="22"/>
                          <w:szCs w:val="22"/>
                        </w:rPr>
                      </w:pPr>
                    </w:p>
                    <w:p w14:paraId="2EA09683" w14:textId="7ED686BE" w:rsidR="004A5764" w:rsidRPr="00251898" w:rsidRDefault="00F63429" w:rsidP="00FD49C8">
                      <w:pPr>
                        <w:pStyle w:val="TableParagraph"/>
                        <w:kinsoku w:val="0"/>
                        <w:overflowPunct w:val="0"/>
                        <w:spacing w:line="268" w:lineRule="exact"/>
                        <w:rPr>
                          <w:b/>
                          <w:bCs/>
                          <w:sz w:val="22"/>
                          <w:szCs w:val="22"/>
                        </w:rPr>
                      </w:pPr>
                      <w:r w:rsidRPr="00251898">
                        <w:rPr>
                          <w:b/>
                          <w:bCs/>
                          <w:sz w:val="22"/>
                          <w:szCs w:val="22"/>
                        </w:rPr>
                        <w:t xml:space="preserve">Replaces </w:t>
                      </w:r>
                      <w:r w:rsidR="00FD49C8" w:rsidRPr="00251898">
                        <w:rPr>
                          <w:b/>
                          <w:bCs/>
                          <w:sz w:val="22"/>
                          <w:szCs w:val="22"/>
                        </w:rPr>
                        <w:t xml:space="preserve">TAWDB </w:t>
                      </w:r>
                      <w:r w:rsidRPr="00251898">
                        <w:rPr>
                          <w:b/>
                          <w:bCs/>
                          <w:sz w:val="22"/>
                          <w:szCs w:val="22"/>
                        </w:rPr>
                        <w:t>Demand Occupation Policy dated 0</w:t>
                      </w:r>
                      <w:r w:rsidR="00FD49C8" w:rsidRPr="00251898">
                        <w:rPr>
                          <w:b/>
                          <w:bCs/>
                          <w:sz w:val="22"/>
                          <w:szCs w:val="22"/>
                        </w:rPr>
                        <w:t>6</w:t>
                      </w:r>
                      <w:r w:rsidRPr="00251898">
                        <w:rPr>
                          <w:b/>
                          <w:bCs/>
                          <w:sz w:val="22"/>
                          <w:szCs w:val="22"/>
                        </w:rPr>
                        <w:t>/</w:t>
                      </w:r>
                      <w:r w:rsidR="00FD49C8" w:rsidRPr="00251898">
                        <w:rPr>
                          <w:b/>
                          <w:bCs/>
                          <w:sz w:val="22"/>
                          <w:szCs w:val="22"/>
                        </w:rPr>
                        <w:t>18</w:t>
                      </w:r>
                      <w:r w:rsidRPr="00251898">
                        <w:rPr>
                          <w:b/>
                          <w:bCs/>
                          <w:sz w:val="22"/>
                          <w:szCs w:val="22"/>
                        </w:rPr>
                        <w:t>/20</w:t>
                      </w:r>
                      <w:r w:rsidR="00FD49C8" w:rsidRPr="00251898">
                        <w:rPr>
                          <w:b/>
                          <w:bCs/>
                          <w:sz w:val="22"/>
                          <w:szCs w:val="22"/>
                        </w:rPr>
                        <w:t>20</w:t>
                      </w:r>
                    </w:p>
                  </w:tc>
                </w:tr>
                <w:tr w:rsidR="004A5764" w:rsidRPr="00251898" w14:paraId="3193A4BA" w14:textId="77777777">
                  <w:trPr>
                    <w:trHeight w:val="268"/>
                  </w:trPr>
                  <w:tc>
                    <w:tcPr>
                      <w:tcW w:w="9349" w:type="dxa"/>
                      <w:gridSpan w:val="3"/>
                      <w:tcBorders>
                        <w:top w:val="single" w:sz="4" w:space="0" w:color="000000"/>
                        <w:left w:val="single" w:sz="4" w:space="0" w:color="000000"/>
                        <w:bottom w:val="single" w:sz="4" w:space="0" w:color="000000"/>
                        <w:right w:val="single" w:sz="4" w:space="0" w:color="000000"/>
                      </w:tcBorders>
                    </w:tcPr>
                    <w:p w14:paraId="5C89E7EF" w14:textId="31DDCFC8" w:rsidR="004A5764" w:rsidRPr="00251898" w:rsidRDefault="00FD49C8">
                      <w:pPr>
                        <w:pStyle w:val="TableParagraph"/>
                        <w:kinsoku w:val="0"/>
                        <w:overflowPunct w:val="0"/>
                        <w:rPr>
                          <w:b/>
                          <w:bCs/>
                          <w:sz w:val="22"/>
                          <w:szCs w:val="22"/>
                        </w:rPr>
                      </w:pPr>
                      <w:r w:rsidRPr="00251898">
                        <w:rPr>
                          <w:b/>
                          <w:bCs/>
                          <w:sz w:val="22"/>
                          <w:szCs w:val="22"/>
                        </w:rPr>
                        <w:t>Delaney Rea</w:t>
                      </w:r>
                      <w:r w:rsidR="00F63429" w:rsidRPr="00251898">
                        <w:rPr>
                          <w:b/>
                          <w:bCs/>
                          <w:sz w:val="22"/>
                          <w:szCs w:val="22"/>
                        </w:rPr>
                        <w:t xml:space="preserve">, </w:t>
                      </w:r>
                      <w:r w:rsidRPr="00251898">
                        <w:rPr>
                          <w:b/>
                          <w:bCs/>
                          <w:sz w:val="22"/>
                          <w:szCs w:val="22"/>
                        </w:rPr>
                        <w:t>GC</w:t>
                      </w:r>
                      <w:r w:rsidR="00F63429" w:rsidRPr="00251898">
                        <w:rPr>
                          <w:b/>
                          <w:bCs/>
                          <w:sz w:val="22"/>
                          <w:szCs w:val="22"/>
                        </w:rPr>
                        <w:t>WDB Chair</w:t>
                      </w:r>
                    </w:p>
                  </w:tc>
                </w:tr>
              </w:tbl>
              <w:p w14:paraId="08233270" w14:textId="77777777" w:rsidR="004A5764" w:rsidRDefault="004A5764">
                <w:pPr>
                  <w:pStyle w:val="BodyText"/>
                  <w:kinsoku w:val="0"/>
                  <w:overflowPunct w:val="0"/>
                  <w:rPr>
                    <w:rFonts w:ascii="Times New Roman" w:hAnsi="Times New Roman" w:cs="Times New Roman"/>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120" w:hanging="720"/>
      </w:pPr>
      <w:rPr>
        <w:b/>
        <w:bCs/>
        <w:spacing w:val="-4"/>
        <w:w w:val="100"/>
      </w:rPr>
    </w:lvl>
    <w:lvl w:ilvl="1">
      <w:start w:val="1"/>
      <w:numFmt w:val="upperLetter"/>
      <w:lvlText w:val="%2."/>
      <w:lvlJc w:val="left"/>
      <w:pPr>
        <w:ind w:left="1560" w:hanging="720"/>
      </w:pPr>
      <w:rPr>
        <w:rFonts w:ascii="Calibri" w:hAnsi="Calibri" w:cs="Calibri"/>
        <w:b w:val="0"/>
        <w:bCs w:val="0"/>
        <w:color w:val="303030"/>
        <w:spacing w:val="-4"/>
        <w:w w:val="100"/>
        <w:sz w:val="24"/>
        <w:szCs w:val="24"/>
      </w:rPr>
    </w:lvl>
    <w:lvl w:ilvl="2">
      <w:start w:val="1"/>
      <w:numFmt w:val="decimal"/>
      <w:lvlText w:val="%3."/>
      <w:lvlJc w:val="left"/>
      <w:pPr>
        <w:ind w:left="1560" w:hanging="293"/>
      </w:pPr>
      <w:rPr>
        <w:rFonts w:ascii="Calibri" w:hAnsi="Calibri" w:cs="Calibri"/>
        <w:b w:val="0"/>
        <w:bCs w:val="0"/>
        <w:color w:val="303030"/>
        <w:spacing w:val="-3"/>
        <w:w w:val="100"/>
        <w:sz w:val="24"/>
        <w:szCs w:val="24"/>
      </w:rPr>
    </w:lvl>
    <w:lvl w:ilvl="3">
      <w:numFmt w:val="bullet"/>
      <w:lvlText w:val="•"/>
      <w:lvlJc w:val="left"/>
      <w:pPr>
        <w:ind w:left="1900" w:hanging="293"/>
      </w:pPr>
    </w:lvl>
    <w:lvl w:ilvl="4">
      <w:numFmt w:val="bullet"/>
      <w:lvlText w:val="•"/>
      <w:lvlJc w:val="left"/>
      <w:pPr>
        <w:ind w:left="3000" w:hanging="293"/>
      </w:pPr>
    </w:lvl>
    <w:lvl w:ilvl="5">
      <w:numFmt w:val="bullet"/>
      <w:lvlText w:val="•"/>
      <w:lvlJc w:val="left"/>
      <w:pPr>
        <w:ind w:left="4100" w:hanging="293"/>
      </w:pPr>
    </w:lvl>
    <w:lvl w:ilvl="6">
      <w:numFmt w:val="bullet"/>
      <w:lvlText w:val="•"/>
      <w:lvlJc w:val="left"/>
      <w:pPr>
        <w:ind w:left="5200" w:hanging="293"/>
      </w:pPr>
    </w:lvl>
    <w:lvl w:ilvl="7">
      <w:numFmt w:val="bullet"/>
      <w:lvlText w:val="•"/>
      <w:lvlJc w:val="left"/>
      <w:pPr>
        <w:ind w:left="6300" w:hanging="293"/>
      </w:pPr>
    </w:lvl>
    <w:lvl w:ilvl="8">
      <w:numFmt w:val="bullet"/>
      <w:lvlText w:val="•"/>
      <w:lvlJc w:val="left"/>
      <w:pPr>
        <w:ind w:left="7400" w:hanging="29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9C8"/>
    <w:rsid w:val="00251898"/>
    <w:rsid w:val="004A5764"/>
    <w:rsid w:val="005D0955"/>
    <w:rsid w:val="00761F03"/>
    <w:rsid w:val="007C115B"/>
    <w:rsid w:val="00825D1D"/>
    <w:rsid w:val="00B354AA"/>
    <w:rsid w:val="00CC7116"/>
    <w:rsid w:val="00F63429"/>
    <w:rsid w:val="00FD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7EAE463"/>
  <w14:defaultImageDpi w14:val="0"/>
  <w15:docId w15:val="{5DF30EF8-9BE9-48C2-AF4F-0A88844E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84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1560" w:hanging="720"/>
    </w:pPr>
    <w:rPr>
      <w:sz w:val="24"/>
      <w:szCs w:val="24"/>
    </w:rPr>
  </w:style>
  <w:style w:type="paragraph" w:customStyle="1" w:styleId="TableParagraph">
    <w:name w:val="Table Paragraph"/>
    <w:basedOn w:val="Normal"/>
    <w:uiPriority w:val="1"/>
    <w:qFormat/>
    <w:pPr>
      <w:spacing w:line="248" w:lineRule="exact"/>
      <w:ind w:left="107"/>
    </w:pPr>
    <w:rPr>
      <w:sz w:val="24"/>
      <w:szCs w:val="24"/>
    </w:rPr>
  </w:style>
  <w:style w:type="paragraph" w:styleId="Header">
    <w:name w:val="header"/>
    <w:basedOn w:val="Normal"/>
    <w:link w:val="HeaderChar"/>
    <w:uiPriority w:val="99"/>
    <w:unhideWhenUsed/>
    <w:rsid w:val="00FD49C8"/>
    <w:pPr>
      <w:tabs>
        <w:tab w:val="center" w:pos="4680"/>
        <w:tab w:val="right" w:pos="9360"/>
      </w:tabs>
    </w:pPr>
  </w:style>
  <w:style w:type="character" w:customStyle="1" w:styleId="HeaderChar">
    <w:name w:val="Header Char"/>
    <w:link w:val="Header"/>
    <w:uiPriority w:val="99"/>
    <w:rsid w:val="00FD49C8"/>
    <w:rPr>
      <w:rFonts w:ascii="Calibri" w:hAnsi="Calibri" w:cs="Calibri"/>
    </w:rPr>
  </w:style>
  <w:style w:type="paragraph" w:styleId="Footer">
    <w:name w:val="footer"/>
    <w:basedOn w:val="Normal"/>
    <w:link w:val="FooterChar"/>
    <w:uiPriority w:val="99"/>
    <w:unhideWhenUsed/>
    <w:rsid w:val="00FD49C8"/>
    <w:pPr>
      <w:tabs>
        <w:tab w:val="center" w:pos="4680"/>
        <w:tab w:val="right" w:pos="9360"/>
      </w:tabs>
    </w:pPr>
  </w:style>
  <w:style w:type="character" w:customStyle="1" w:styleId="FooterChar">
    <w:name w:val="Footer Char"/>
    <w:link w:val="Footer"/>
    <w:uiPriority w:val="99"/>
    <w:rsid w:val="00FD49C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C3404-B74D-4E98-AB77-2B44C8AAE425}">
  <ds:schemaRefs>
    <ds:schemaRef ds:uri="http://schemas.microsoft.com/sharepoint/v3/contenttype/forms"/>
  </ds:schemaRefs>
</ds:datastoreItem>
</file>

<file path=customXml/itemProps2.xml><?xml version="1.0" encoding="utf-8"?>
<ds:datastoreItem xmlns:ds="http://schemas.openxmlformats.org/officeDocument/2006/customXml" ds:itemID="{68E6915D-8B40-463A-B1C9-D56C92671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6b4e-805e-4ad0-9e39-6e49d9b74743"/>
    <ds:schemaRef ds:uri="e9d80272-4eb4-471a-b586-6ba84726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2A40C-BC6F-4EF2-BC6D-B278B734D9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5</cp:revision>
  <dcterms:created xsi:type="dcterms:W3CDTF">2021-03-17T11:25:00Z</dcterms:created>
  <dcterms:modified xsi:type="dcterms:W3CDTF">2021-04-19T16:14:00Z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y fmtid="{D5CDD505-2E9C-101B-9397-08002B2CF9AE}" pid="3" name="ContentTypeId">
    <vt:lpwstr>0x01010021312B50DE27B94CBCCA0D16585F9EDE</vt:lpwstr>
  </property>
</Properties>
</file>